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Carlito" w:hAnsi="Carlito"/>
          <w:sz w:val="24"/>
          <w:szCs w:val="24"/>
        </w:rPr>
      </w:pPr>
      <w:r>
        <w:rPr>
          <w:rFonts w:cs="Arial" w:ascii="Carlito" w:hAnsi="Carlito"/>
          <w:b/>
          <w:bCs/>
          <w:color w:val="000000"/>
          <w:sz w:val="24"/>
          <w:szCs w:val="24"/>
        </w:rPr>
        <w:t>TERMO DE REFERÊNCIA</w:t>
      </w:r>
    </w:p>
    <w:p>
      <w:pPr>
        <w:pStyle w:val="Normal"/>
        <w:jc w:val="center"/>
        <w:rPr>
          <w:rFonts w:ascii="Carlito" w:hAnsi="Carlito"/>
          <w:sz w:val="24"/>
          <w:szCs w:val="24"/>
        </w:rPr>
      </w:pPr>
      <w:r>
        <w:rPr>
          <w:rFonts w:cs="Arial" w:ascii="Carlito" w:hAnsi="Carlito"/>
          <w:b/>
          <w:bCs/>
          <w:color w:val="000000"/>
          <w:sz w:val="24"/>
          <w:szCs w:val="24"/>
        </w:rPr>
        <w:t xml:space="preserve">DISPENSA ELETRÔNICA </w:t>
      </w:r>
    </w:p>
    <w:p>
      <w:pPr>
        <w:pStyle w:val="Normal"/>
        <w:jc w:val="center"/>
        <w:rPr>
          <w:rFonts w:ascii="Carlito" w:hAnsi="Carlito"/>
          <w:sz w:val="24"/>
          <w:szCs w:val="24"/>
        </w:rPr>
      </w:pPr>
      <w:r>
        <w:rPr>
          <w:rFonts w:cs="Arial" w:ascii="Carlito" w:hAnsi="Carlito"/>
          <w:b/>
          <w:bCs/>
          <w:iCs/>
          <w:color w:val="000000"/>
          <w:sz w:val="24"/>
          <w:szCs w:val="24"/>
        </w:rPr>
        <w:t>(COMPRAS)</w:t>
      </w:r>
    </w:p>
    <w:p>
      <w:pPr>
        <w:pStyle w:val="Normal"/>
        <w:spacing w:lineRule="auto" w:line="276" w:before="0" w:after="120"/>
        <w:ind w:right="-15" w:hanging="0"/>
        <w:jc w:val="center"/>
        <w:rPr>
          <w:rFonts w:ascii="Carlito" w:hAnsi="Carlito" w:cs="Arial"/>
          <w:b/>
          <w:b/>
          <w:bCs/>
          <w:i/>
          <w:i/>
          <w:color w:val="FF0000"/>
          <w:sz w:val="24"/>
          <w:szCs w:val="24"/>
        </w:rPr>
      </w:pPr>
      <w:r>
        <w:rPr>
          <w:rFonts w:cs="Arial" w:ascii="Carlito" w:hAnsi="Carlito"/>
          <w:b/>
          <w:bCs/>
          <w:i/>
          <w:color w:val="FF0000"/>
          <w:sz w:val="24"/>
          <w:szCs w:val="24"/>
        </w:rPr>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MARINHA DO BRASIL</w:t>
      </w:r>
      <w:r>
        <w:rPr>
          <w:rFonts w:cs="Arial" w:ascii="Carlito" w:hAnsi="Carlito"/>
          <w:b/>
          <w:bCs/>
          <w:i/>
          <w:color w:val="FF0000"/>
          <w:sz w:val="24"/>
          <w:szCs w:val="24"/>
        </w:rPr>
        <w:t xml:space="preserve"> </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BATALHÃO DE OPERAÇÕES ESPECIAIS DE FUZILEIROS NAVAIS</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ANEXO  III</w:t>
      </w:r>
    </w:p>
    <w:p>
      <w:pPr>
        <w:pStyle w:val="Normal"/>
        <w:spacing w:lineRule="auto" w:line="276"/>
        <w:jc w:val="center"/>
        <w:rPr>
          <w:rFonts w:cs="Arial"/>
          <w:b/>
          <w:b/>
          <w:bCs/>
          <w:i w:val="false"/>
          <w:i w:val="false"/>
          <w:iCs w:val="false"/>
          <w:color w:val="000000"/>
        </w:rPr>
      </w:pPr>
      <w:r>
        <w:rPr>
          <w:rFonts w:cs="Arial"/>
          <w:b/>
          <w:bCs/>
          <w:i w:val="false"/>
          <w:iCs w:val="false"/>
          <w:color w:val="000000"/>
        </w:rPr>
      </w:r>
    </w:p>
    <w:p>
      <w:pPr>
        <w:pStyle w:val="Normal"/>
        <w:spacing w:lineRule="auto" w:line="276"/>
        <w:jc w:val="center"/>
        <w:rPr>
          <w:rFonts w:ascii="Carlito" w:hAnsi="Carlito"/>
          <w:sz w:val="24"/>
          <w:szCs w:val="24"/>
        </w:rPr>
      </w:pPr>
      <w:r>
        <w:rPr>
          <w:rFonts w:cs="Arial" w:ascii="Carlito" w:hAnsi="Carlito"/>
          <w:b/>
          <w:bCs/>
          <w:color w:val="000000"/>
          <w:sz w:val="24"/>
          <w:szCs w:val="24"/>
        </w:rPr>
        <w:t>AVISO DE DISPENSA Nº 117/2023</w:t>
      </w:r>
    </w:p>
    <w:p>
      <w:pPr>
        <w:pStyle w:val="Normal"/>
        <w:spacing w:lineRule="auto" w:line="276"/>
        <w:jc w:val="center"/>
        <w:rPr/>
      </w:pPr>
      <w:r>
        <w:rPr>
          <w:rFonts w:cs="Arial" w:ascii="Carlito" w:hAnsi="Carlito"/>
          <w:b/>
          <w:bCs/>
          <w:color w:val="000000"/>
          <w:sz w:val="24"/>
          <w:szCs w:val="24"/>
        </w:rPr>
        <w:t>(Processo Administrativo</w:t>
      </w:r>
      <w:r>
        <w:rPr>
          <w:rFonts w:cs="Arial" w:ascii="Carlito" w:hAnsi="Carlito"/>
          <w:b/>
          <w:bCs/>
          <w:color w:val="000000"/>
          <w:sz w:val="24"/>
          <w:szCs w:val="24"/>
          <w:shd w:fill="auto" w:val="clear"/>
        </w:rPr>
        <w:t xml:space="preserve"> n.°</w:t>
      </w:r>
      <w:r>
        <w:rPr>
          <w:rStyle w:val="Nfaseforte"/>
          <w:rFonts w:eastAsia="Times New Roman" w:cs="Arial" w:ascii="Carlito" w:hAnsi="Carlito"/>
          <w:i w:val="false"/>
          <w:iCs w:val="false"/>
          <w:color w:val="000000"/>
          <w:kern w:val="0"/>
          <w:sz w:val="24"/>
          <w:szCs w:val="24"/>
          <w:shd w:fill="auto" w:val="clear"/>
          <w:lang w:val="pt-BR" w:eastAsia="pt-BR" w:bidi="ar-SA"/>
        </w:rPr>
        <w:t>63430.002164/2023-26</w:t>
      </w:r>
      <w:r>
        <w:rPr>
          <w:rFonts w:eastAsia="Times New Roman" w:cs="Arial" w:ascii="Carlito" w:hAnsi="Carlito"/>
          <w:b/>
          <w:bCs/>
          <w:color w:val="000000"/>
          <w:kern w:val="0"/>
          <w:sz w:val="24"/>
          <w:szCs w:val="24"/>
          <w:shd w:fill="auto" w:val="clear"/>
          <w:lang w:val="pt-BR" w:eastAsia="pt-BR" w:bidi="ar-SA"/>
        </w:rPr>
        <w:t>)</w:t>
      </w:r>
    </w:p>
    <w:p>
      <w:pPr>
        <w:pStyle w:val="Nivel1"/>
        <w:numPr>
          <w:ilvl w:val="0"/>
          <w:numId w:val="1"/>
        </w:numPr>
        <w:rPr>
          <w:rFonts w:ascii="Carlito" w:hAnsi="Carlito"/>
          <w:sz w:val="24"/>
          <w:szCs w:val="24"/>
        </w:rPr>
      </w:pPr>
      <w:r>
        <w:rPr>
          <w:rFonts w:ascii="Carlito" w:hAnsi="Carlito"/>
          <w:sz w:val="24"/>
          <w:szCs w:val="24"/>
        </w:rPr>
        <w:t>DO OBJETO</w:t>
      </w:r>
    </w:p>
    <w:p>
      <w:pPr>
        <w:pStyle w:val="Normal"/>
        <w:numPr>
          <w:ilvl w:val="1"/>
          <w:numId w:val="1"/>
        </w:numPr>
        <w:spacing w:lineRule="auto" w:line="276" w:before="119" w:after="119"/>
        <w:contextualSpacing/>
        <w:jc w:val="both"/>
        <w:rPr>
          <w:rFonts w:ascii="Carlito" w:hAnsi="Carlito"/>
          <w:sz w:val="24"/>
          <w:szCs w:val="24"/>
        </w:rPr>
      </w:pPr>
      <w:r>
        <w:rPr>
          <w:rFonts w:cs="Arial" w:ascii="Carlito" w:hAnsi="Carlito"/>
          <w:b w:val="false"/>
          <w:bCs w:val="false"/>
          <w:i w:val="false"/>
          <w:iCs/>
          <w:strike w:val="false"/>
          <w:dstrike w:val="false"/>
          <w:outline w:val="false"/>
          <w:shadow w:val="false"/>
          <w:color w:val="000000"/>
          <w:sz w:val="24"/>
          <w:szCs w:val="24"/>
          <w:u w:val="none"/>
          <w:em w:val="none"/>
          <w:lang w:eastAsia="zxx" w:bidi="zxx"/>
        </w:rPr>
        <w:t>Aquisição de material para a Segurança Org</w:t>
      </w:r>
      <w:r>
        <w:rPr>
          <w:rFonts w:eastAsia="Times New Roman" w:cs="Arial" w:ascii="Carlito" w:hAnsi="Carlito"/>
          <w:b w:val="false"/>
          <w:bCs w:val="false"/>
          <w:i w:val="false"/>
          <w:iCs/>
          <w:strike w:val="false"/>
          <w:dstrike w:val="false"/>
          <w:outline w:val="false"/>
          <w:shadow w:val="false"/>
          <w:color w:val="000000"/>
          <w:kern w:val="0"/>
          <w:sz w:val="24"/>
          <w:szCs w:val="24"/>
          <w:u w:val="none"/>
          <w:em w:val="none"/>
          <w:lang w:val="pt-BR" w:eastAsia="zxx" w:bidi="zxx"/>
        </w:rPr>
        <w:t>ânica</w:t>
      </w:r>
      <w:r>
        <w:rPr>
          <w:rFonts w:cs="Arial" w:ascii="Carlito" w:hAnsi="Carlito"/>
          <w:b/>
          <w:bCs w:val="false"/>
          <w:i w:val="false"/>
          <w:iCs/>
          <w:strike w:val="false"/>
          <w:dstrike w:val="false"/>
          <w:outline w:val="false"/>
          <w:shadow w:val="false"/>
          <w:color w:val="000000"/>
          <w:sz w:val="24"/>
          <w:szCs w:val="24"/>
          <w:u w:val="none"/>
          <w:em w:val="none"/>
          <w:lang w:eastAsia="zxx" w:bidi="zxx"/>
        </w:rPr>
        <w:t>,</w:t>
      </w:r>
      <w:r>
        <w:rPr>
          <w:rFonts w:cs="Arial" w:ascii="Carlito" w:hAnsi="Carlito"/>
          <w:i w:val="false"/>
          <w:iCs/>
          <w:color w:val="000000"/>
          <w:sz w:val="24"/>
          <w:szCs w:val="24"/>
          <w:lang w:eastAsia="zxx" w:bidi="zxx"/>
        </w:rPr>
        <w:t xml:space="preserve"> nos termos da tabela abaixo, conforme condições e exigências estabelecidas neste instrumento.</w:t>
      </w:r>
    </w:p>
    <w:tbl>
      <w:tblPr>
        <w:tblW w:w="10480" w:type="dxa"/>
        <w:jc w:val="left"/>
        <w:tblInd w:w="-319" w:type="dxa"/>
        <w:tblLayout w:type="fixed"/>
        <w:tblCellMar>
          <w:top w:w="0" w:type="dxa"/>
          <w:left w:w="88" w:type="dxa"/>
          <w:bottom w:w="0" w:type="dxa"/>
          <w:right w:w="108" w:type="dxa"/>
        </w:tblCellMar>
        <w:tblLook w:val="04a0" w:noHBand="0" w:noVBand="1" w:firstColumn="1" w:lastRow="0" w:lastColumn="0" w:firstRow="1"/>
      </w:tblPr>
      <w:tblGrid>
        <w:gridCol w:w="1470"/>
        <w:gridCol w:w="1530"/>
        <w:gridCol w:w="692"/>
        <w:gridCol w:w="900"/>
        <w:gridCol w:w="1017"/>
        <w:gridCol w:w="798"/>
        <w:gridCol w:w="1021"/>
        <w:gridCol w:w="794"/>
        <w:gridCol w:w="1185"/>
        <w:gridCol w:w="1072"/>
      </w:tblGrid>
      <w:tr>
        <w:trPr/>
        <w:tc>
          <w:tcPr>
            <w:tcW w:w="147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color w:val="000000"/>
                <w:sz w:val="14"/>
                <w:szCs w:val="14"/>
              </w:rPr>
              <w:t>ITEM</w:t>
            </w:r>
          </w:p>
        </w:tc>
        <w:tc>
          <w:tcPr>
            <w:tcW w:w="1530"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color w:val="000000"/>
                <w:sz w:val="14"/>
                <w:szCs w:val="14"/>
              </w:rPr>
              <w:t>ESPECIFICAÇÃO</w:t>
            </w:r>
          </w:p>
        </w:tc>
        <w:tc>
          <w:tcPr>
            <w:tcW w:w="692"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b/>
                <w:bCs/>
                <w:sz w:val="14"/>
                <w:szCs w:val="14"/>
              </w:rPr>
              <w:t>PDM</w:t>
            </w:r>
          </w:p>
        </w:tc>
        <w:tc>
          <w:tcPr>
            <w:tcW w:w="9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color w:val="000000"/>
                <w:sz w:val="14"/>
                <w:szCs w:val="14"/>
              </w:rPr>
              <w:t>CATMAT/</w:t>
            </w:r>
            <w:r>
              <w:rPr>
                <w:rFonts w:cs="Arial" w:ascii="Carlito" w:hAnsi="Carlito"/>
                <w:b/>
                <w:bCs/>
                <w:i w:val="false"/>
                <w:iCs w:val="false"/>
                <w:color w:val="000000"/>
                <w:sz w:val="14"/>
                <w:szCs w:val="14"/>
              </w:rPr>
              <w:t>CATSER</w:t>
            </w:r>
          </w:p>
        </w:tc>
        <w:tc>
          <w:tcPr>
            <w:tcW w:w="101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color w:val="000000"/>
                <w:sz w:val="14"/>
                <w:szCs w:val="14"/>
              </w:rPr>
              <w:t>UNIDADE DE MEDIDA</w:t>
            </w:r>
          </w:p>
        </w:tc>
        <w:tc>
          <w:tcPr>
            <w:tcW w:w="79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sz w:val="14"/>
                <w:szCs w:val="14"/>
              </w:rPr>
              <w:t>QUANT</w:t>
            </w:r>
          </w:p>
        </w:tc>
        <w:tc>
          <w:tcPr>
            <w:tcW w:w="102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sz w:val="14"/>
                <w:szCs w:val="14"/>
              </w:rPr>
              <w:t>VALOR UNITÁRIO</w:t>
            </w:r>
          </w:p>
        </w:tc>
        <w:tc>
          <w:tcPr>
            <w:tcW w:w="79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sz w:val="14"/>
                <w:szCs w:val="14"/>
              </w:rPr>
              <w:t>VALOR TOTAL</w:t>
            </w:r>
          </w:p>
        </w:tc>
        <w:tc>
          <w:tcPr>
            <w:tcW w:w="118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sz w:val="16"/>
                <w:szCs w:val="16"/>
              </w:rPr>
            </w:pPr>
            <w:r>
              <w:rPr>
                <w:rFonts w:ascii="Carlito" w:hAnsi="Carlito"/>
                <w:b/>
                <w:i w:val="false"/>
                <w:iCs w:val="false"/>
                <w:color w:val="000000"/>
                <w:sz w:val="14"/>
                <w:szCs w:val="14"/>
              </w:rPr>
              <w:t>LOCAL DE ENTREGA</w:t>
            </w:r>
          </w:p>
        </w:tc>
        <w:tc>
          <w:tcPr>
            <w:tcW w:w="1072"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sz w:val="16"/>
                <w:szCs w:val="16"/>
              </w:rPr>
            </w:pPr>
            <w:r>
              <w:rPr>
                <w:rFonts w:ascii="Carlito" w:hAnsi="Carlito"/>
                <w:b/>
                <w:i w:val="false"/>
                <w:iCs w:val="false"/>
                <w:color w:val="000000"/>
                <w:sz w:val="14"/>
                <w:szCs w:val="14"/>
              </w:rPr>
              <w:t>PRAZO DE ENTREGA</w:t>
            </w:r>
          </w:p>
        </w:tc>
      </w:tr>
      <w:tr>
        <w:trPr/>
        <w:tc>
          <w:tcPr>
            <w:tcW w:w="1470"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16"/>
                <w:szCs w:val="16"/>
              </w:rPr>
              <w:t>1</w:t>
            </w:r>
          </w:p>
        </w:tc>
        <w:tc>
          <w:tcPr>
            <w:tcW w:w="1530" w:type="dxa"/>
            <w:tcBorders>
              <w:top w:val="single" w:sz="4" w:space="0" w:color="000000"/>
              <w:left w:val="single" w:sz="4" w:space="0" w:color="000000"/>
              <w:bottom w:val="single" w:sz="4" w:space="0" w:color="000000"/>
            </w:tcBorders>
            <w:shd w:fill="auto" w:val="clear"/>
            <w:vAlign w:val="center"/>
          </w:tcPr>
          <w:p>
            <w:pPr>
              <w:pStyle w:val="Calibri"/>
              <w:widowControl w:val="false"/>
              <w:spacing w:before="57" w:after="57"/>
              <w:jc w:val="center"/>
              <w:rPr>
                <w:rFonts w:ascii="Arial" w:hAnsi="Arial"/>
                <w:sz w:val="20"/>
                <w:szCs w:val="20"/>
              </w:rPr>
            </w:pPr>
            <w:r>
              <w:rPr>
                <w:rFonts w:eastAsia="Times New Roman" w:cs="Times New Roman" w:ascii="Arial" w:hAnsi="Arial"/>
                <w:b w:val="false"/>
                <w:bCs w:val="false"/>
                <w:color w:val="000000"/>
                <w:sz w:val="20"/>
                <w:szCs w:val="20"/>
              </w:rPr>
              <w:t>Aquisiç</w:t>
            </w:r>
            <w:r>
              <w:rPr>
                <w:rFonts w:eastAsia="Times New Roman" w:cs="Times New Roman" w:ascii="Arial" w:hAnsi="Arial"/>
                <w:b w:val="false"/>
                <w:bCs w:val="false"/>
                <w:color w:val="000000"/>
                <w:kern w:val="2"/>
                <w:sz w:val="20"/>
                <w:szCs w:val="20"/>
                <w:lang w:val="pt-BR" w:eastAsia="hi-IN" w:bidi="hi-IN"/>
              </w:rPr>
              <w:t>ão de material para</w:t>
            </w:r>
            <w:r>
              <w:rPr>
                <w:rFonts w:eastAsia="Times New Roman" w:cs="Times New Roman" w:ascii="Arial" w:hAnsi="Arial"/>
                <w:b w:val="false"/>
                <w:bCs w:val="false"/>
                <w:color w:val="000000"/>
                <w:sz w:val="20"/>
                <w:szCs w:val="20"/>
              </w:rPr>
              <w:t xml:space="preserve"> automatizar</w:t>
            </w:r>
            <w:r>
              <w:rPr>
                <w:rFonts w:eastAsia="Times New Roman" w:cs="Times New Roman" w:ascii="Arial" w:hAnsi="Arial"/>
                <w:b w:val="false"/>
                <w:bCs w:val="false"/>
                <w:color w:val="000000"/>
                <w:kern w:val="2"/>
                <w:sz w:val="20"/>
                <w:szCs w:val="20"/>
                <w:lang w:val="pt-BR" w:eastAsia="hi-IN" w:bidi="hi-IN"/>
              </w:rPr>
              <w:t xml:space="preserve"> o controle de ronda, com os seguintes componentes:</w:t>
            </w:r>
          </w:p>
          <w:p>
            <w:pPr>
              <w:pStyle w:val="Calibri"/>
              <w:widowControl w:val="false"/>
              <w:spacing w:before="57" w:after="57"/>
              <w:jc w:val="center"/>
              <w:rPr>
                <w:rFonts w:ascii="Arial" w:hAnsi="Arial"/>
                <w:sz w:val="20"/>
                <w:szCs w:val="20"/>
              </w:rPr>
            </w:pPr>
            <w:r>
              <w:rPr>
                <w:rFonts w:eastAsia="Times New Roman" w:cs="Times New Roman" w:ascii="Arial" w:hAnsi="Arial"/>
                <w:b w:val="false"/>
                <w:bCs w:val="false"/>
                <w:color w:val="000000"/>
                <w:kern w:val="2"/>
                <w:sz w:val="20"/>
                <w:szCs w:val="20"/>
                <w:lang w:val="pt-BR" w:eastAsia="hi-IN" w:bidi="hi-IN"/>
              </w:rPr>
              <w:t>HARDWARE – Leitor Viggia USB; Estojo de nylon; iButton; Cabo USB para comunicação com o computador, comprimento 1m; Conjunto para fixação do iButton; Manual de operação e configuração.</w:t>
            </w:r>
          </w:p>
          <w:p>
            <w:pPr>
              <w:pStyle w:val="Calibri"/>
              <w:widowControl w:val="false"/>
              <w:spacing w:before="57" w:after="57"/>
              <w:jc w:val="center"/>
              <w:rPr>
                <w:rFonts w:ascii="Arial" w:hAnsi="Arial"/>
                <w:sz w:val="20"/>
                <w:szCs w:val="20"/>
              </w:rPr>
            </w:pPr>
            <w:r>
              <w:rPr>
                <w:rFonts w:eastAsia="Times New Roman" w:cs="Times New Roman" w:ascii="Arial" w:hAnsi="Arial"/>
                <w:b w:val="false"/>
                <w:bCs w:val="false"/>
                <w:color w:val="000000"/>
                <w:kern w:val="2"/>
                <w:sz w:val="20"/>
                <w:szCs w:val="20"/>
                <w:lang w:val="pt-BR" w:eastAsia="hi-IN" w:bidi="hi-IN"/>
              </w:rPr>
              <w:t>SOFTWARE – Software de configuração – software TopRonda.</w:t>
            </w:r>
          </w:p>
          <w:p>
            <w:pPr>
              <w:pStyle w:val="Calibri"/>
              <w:widowControl w:val="false"/>
              <w:spacing w:before="57" w:after="57"/>
              <w:jc w:val="center"/>
              <w:rPr>
                <w:rFonts w:ascii="Arial" w:hAnsi="Arial"/>
                <w:sz w:val="20"/>
                <w:szCs w:val="20"/>
              </w:rPr>
            </w:pPr>
            <w:r>
              <w:rPr>
                <w:rFonts w:eastAsia="Times New Roman" w:cs="Times New Roman" w:ascii="Arial" w:hAnsi="Arial"/>
                <w:b w:val="false"/>
                <w:bCs w:val="false"/>
                <w:color w:val="000000"/>
                <w:kern w:val="2"/>
                <w:sz w:val="20"/>
                <w:szCs w:val="20"/>
                <w:lang w:val="pt-BR" w:eastAsia="hi-IN" w:bidi="hi-IN"/>
              </w:rPr>
              <w:t xml:space="preserve">A estrutura do Leitor Viggia é construída em material plástico ABS e possui uma capa de silicone resistente a impactos moderados. </w:t>
            </w:r>
            <w:r>
              <w:rPr>
                <w:rFonts w:eastAsia="Times New Roman" w:cs="Times New Roman" w:ascii="Arial" w:hAnsi="Arial"/>
                <w:b/>
                <w:bCs/>
                <w:color w:val="000000"/>
                <w:kern w:val="2"/>
                <w:sz w:val="20"/>
                <w:szCs w:val="20"/>
                <w:lang w:val="pt-BR" w:eastAsia="hi-IN" w:bidi="hi-IN"/>
              </w:rPr>
              <w:t>INCLUSO BATERIA</w:t>
            </w:r>
            <w:r>
              <w:rPr>
                <w:rFonts w:eastAsia="Times New Roman" w:cs="Times New Roman" w:ascii="Arial" w:hAnsi="Arial"/>
                <w:b w:val="false"/>
                <w:bCs w:val="false"/>
                <w:color w:val="000000"/>
                <w:kern w:val="2"/>
                <w:sz w:val="20"/>
                <w:szCs w:val="20"/>
                <w:lang w:val="pt-BR" w:eastAsia="hi-IN" w:bidi="hi-IN"/>
              </w:rPr>
              <w:t xml:space="preserve"> para uma média de 100 registros por dia, capacidade de armazenamento de 4.094 registro. DIMENSÕES (mm): 43x150 (diâmetro x comprimento); Peso do Viggia (COM BATERIA E CAPA DE SILICONE) = 165 gramas. Peso da embalagem completa (KIT) = 365 gramas.</w:t>
            </w:r>
          </w:p>
        </w:tc>
        <w:tc>
          <w:tcPr>
            <w:tcW w:w="692"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57" w:after="57"/>
              <w:jc w:val="center"/>
              <w:rPr>
                <w:rFonts w:ascii="Arial" w:hAnsi="Arial" w:eastAsia="Times New Roman" w:cs="Times New Roman"/>
                <w:b w:val="false"/>
                <w:b w:val="false"/>
                <w:bCs w:val="false"/>
                <w:color w:val="000000"/>
                <w:sz w:val="16"/>
                <w:szCs w:val="16"/>
                <w:highlight w:val="none"/>
                <w:shd w:fill="auto" w:val="clear"/>
              </w:rPr>
            </w:pPr>
            <w:r>
              <w:rPr>
                <w:rFonts w:eastAsia="Times New Roman" w:cs="Times New Roman"/>
                <w:b w:val="false"/>
                <w:bCs w:val="false"/>
                <w:color w:val="000000"/>
                <w:sz w:val="16"/>
                <w:szCs w:val="16"/>
                <w:shd w:fill="auto" w:val="clear"/>
              </w:rPr>
            </w:r>
          </w:p>
          <w:p>
            <w:pPr>
              <w:pStyle w:val="Ttulo6"/>
              <w:widowControl w:val="false"/>
              <w:spacing w:before="57" w:after="57"/>
              <w:jc w:val="center"/>
              <w:rPr>
                <w:highlight w:val="none"/>
                <w:shd w:fill="auto" w:val="clear"/>
              </w:rPr>
            </w:pPr>
            <w:r>
              <w:rPr>
                <w:rFonts w:eastAsia="Times New Roman" w:cs="Times New Roman"/>
                <w:b w:val="false"/>
                <w:bCs w:val="false"/>
                <w:color w:val="000000"/>
                <w:sz w:val="16"/>
                <w:szCs w:val="16"/>
                <w:shd w:fill="auto" w:val="clear"/>
              </w:rPr>
              <w:t>12162</w:t>
            </w:r>
          </w:p>
          <w:p>
            <w:pPr>
              <w:pStyle w:val="Calibri"/>
              <w:widowControl w:val="false"/>
              <w:spacing w:before="57" w:after="57"/>
              <w:jc w:val="center"/>
              <w:rPr>
                <w:rFonts w:ascii="Arial" w:hAnsi="Arial" w:eastAsia="Times New Roman" w:cs="Times New Roman"/>
                <w:b w:val="false"/>
                <w:b w:val="false"/>
                <w:bCs w:val="false"/>
                <w:color w:val="000000"/>
                <w:sz w:val="16"/>
                <w:szCs w:val="16"/>
                <w:highlight w:val="none"/>
                <w:shd w:fill="auto" w:val="clear"/>
              </w:rPr>
            </w:pPr>
            <w:r>
              <w:rPr>
                <w:rFonts w:eastAsia="Times New Roman" w:cs="Times New Roman" w:ascii="Arial" w:hAnsi="Arial"/>
                <w:b w:val="false"/>
                <w:bCs w:val="false"/>
                <w:color w:val="000000"/>
                <w:sz w:val="16"/>
                <w:szCs w:val="16"/>
                <w:shd w:fill="auto" w:val="clear"/>
              </w:rPr>
            </w:r>
          </w:p>
        </w:tc>
        <w:tc>
          <w:tcPr>
            <w:tcW w:w="900"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highlight w:val="none"/>
                <w:shd w:fill="auto" w:val="clear"/>
              </w:rPr>
            </w:pPr>
            <w:r>
              <w:rPr>
                <w:rFonts w:eastAsia="Times New Roman" w:cs="Times New Roman" w:ascii="Arial" w:hAnsi="Arial"/>
                <w:b w:val="false"/>
                <w:bCs w:val="false"/>
                <w:color w:val="000000"/>
                <w:sz w:val="16"/>
                <w:szCs w:val="16"/>
                <w:shd w:fill="auto" w:val="clear"/>
              </w:rPr>
              <w:t>486299</w:t>
            </w:r>
          </w:p>
        </w:tc>
        <w:tc>
          <w:tcPr>
            <w:tcW w:w="1017"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16"/>
                <w:szCs w:val="16"/>
              </w:rPr>
              <w:t>UN</w:t>
            </w:r>
          </w:p>
        </w:tc>
        <w:tc>
          <w:tcPr>
            <w:tcW w:w="798"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01</w:t>
            </w:r>
          </w:p>
        </w:tc>
        <w:tc>
          <w:tcPr>
            <w:tcW w:w="1021"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sz w:val="16"/>
                <w:szCs w:val="16"/>
              </w:rPr>
            </w:pPr>
            <w:r>
              <w:rPr>
                <w:rFonts w:eastAsia="Times New Roman" w:cs="Times New Roman" w:ascii="Arial" w:hAnsi="Arial"/>
                <w:color w:val="000000"/>
                <w:sz w:val="16"/>
                <w:szCs w:val="16"/>
              </w:rPr>
              <w:t>R$ 620,00</w:t>
            </w:r>
          </w:p>
        </w:tc>
        <w:tc>
          <w:tcPr>
            <w:tcW w:w="794"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16"/>
                <w:szCs w:val="16"/>
              </w:rPr>
              <w:t xml:space="preserve">R$ </w:t>
            </w:r>
            <w:r>
              <w:rPr>
                <w:rFonts w:ascii="Arial" w:hAnsi="Arial"/>
                <w:color w:val="000000"/>
                <w:sz w:val="20"/>
                <w:szCs w:val="20"/>
              </w:rPr>
              <w:t>620,00</w:t>
            </w:r>
          </w:p>
        </w:tc>
        <w:tc>
          <w:tcPr>
            <w:tcW w:w="118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07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bl>
    <w:p>
      <w:pPr>
        <w:pStyle w:val="Nivel1"/>
        <w:numPr>
          <w:ilvl w:val="1"/>
          <w:numId w:val="1"/>
        </w:numPr>
        <w:spacing w:lineRule="auto" w:line="240"/>
        <w:rPr>
          <w:rFonts w:ascii="Carlito" w:hAnsi="Carlito"/>
          <w:sz w:val="24"/>
          <w:szCs w:val="24"/>
        </w:rPr>
      </w:pPr>
      <w:r>
        <w:rPr>
          <w:rFonts w:cs="Arial" w:ascii="Carlito" w:hAnsi="Carlito"/>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Carlito" w:hAnsi="Carlito"/>
          <w:sz w:val="24"/>
          <w:szCs w:val="24"/>
        </w:rPr>
      </w:pPr>
      <w:r>
        <w:rPr>
          <w:rFonts w:cs="Arial" w:ascii="Carlito" w:hAnsi="Carlito"/>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rFonts w:ascii="Carlito" w:hAnsi="Carlito"/>
          <w:sz w:val="24"/>
          <w:szCs w:val="24"/>
        </w:rPr>
      </w:pPr>
      <w:r>
        <w:rPr>
          <w:rFonts w:cs="Arial" w:ascii="Carlito" w:hAnsi="Carlito"/>
          <w:i w:val="false"/>
          <w:iCs w:val="false"/>
          <w:sz w:val="24"/>
          <w:szCs w:val="24"/>
        </w:rPr>
        <w:t xml:space="preserve">O custo estimado total da aquisição é de </w:t>
      </w:r>
      <w:r>
        <w:rPr>
          <w:rFonts w:eastAsia="Times New Roman" w:cs="Times New Roman" w:ascii="Carlito" w:hAnsi="Carlito"/>
          <w:i w:val="false"/>
          <w:iCs w:val="false"/>
          <w:color w:val="000000"/>
          <w:sz w:val="24"/>
          <w:szCs w:val="24"/>
        </w:rPr>
        <w:t>R$ 620,00</w:t>
      </w:r>
      <w:r>
        <w:rPr>
          <w:rFonts w:eastAsia="Times New Roman" w:cs="Arial" w:ascii="Carlito" w:hAnsi="Carlito"/>
          <w:i w:val="false"/>
          <w:iCs w:val="false"/>
          <w:color w:val="000000"/>
          <w:kern w:val="0"/>
          <w:sz w:val="24"/>
          <w:szCs w:val="24"/>
          <w:lang w:val="pt-BR" w:eastAsia="pt-BR" w:bidi="ar-SA"/>
        </w:rPr>
        <w:t xml:space="preserve"> </w:t>
      </w:r>
      <w:r>
        <w:rPr>
          <w:rFonts w:cs="Arial" w:ascii="Carlito" w:hAnsi="Carlito"/>
          <w:i w:val="false"/>
          <w:iCs w:val="false"/>
          <w:color w:val="000000"/>
          <w:sz w:val="24"/>
          <w:szCs w:val="24"/>
        </w:rPr>
        <w:t>(</w:t>
      </w:r>
      <w:r>
        <w:rPr>
          <w:rFonts w:eastAsia="Times New Roman" w:cs="Arial" w:ascii="Carlito" w:hAnsi="Carlito"/>
          <w:i w:val="false"/>
          <w:iCs w:val="false"/>
          <w:color w:val="000000"/>
          <w:kern w:val="0"/>
          <w:sz w:val="24"/>
          <w:szCs w:val="24"/>
          <w:lang w:val="pt-BR" w:eastAsia="pt-BR" w:bidi="ar-SA"/>
        </w:rPr>
        <w:t>seiscentos e vinte reais</w:t>
      </w:r>
      <w:r>
        <w:rPr>
          <w:rFonts w:cs="Arial" w:ascii="Carlito" w:hAnsi="Carlito"/>
          <w:i w:val="false"/>
          <w:iCs w:val="false"/>
          <w:color w:val="000000"/>
          <w:sz w:val="24"/>
          <w:szCs w:val="24"/>
        </w:rPr>
        <w:t>), conforme custos unitários apostos na tabela acima.</w:t>
      </w:r>
    </w:p>
    <w:p>
      <w:pPr>
        <w:pStyle w:val="ListParagraph"/>
        <w:spacing w:lineRule="auto" w:line="276" w:before="0" w:after="0"/>
        <w:contextualSpacing/>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ivel1"/>
        <w:numPr>
          <w:ilvl w:val="0"/>
          <w:numId w:val="1"/>
        </w:numPr>
        <w:rPr>
          <w:rFonts w:ascii="Carlito" w:hAnsi="Carlito"/>
          <w:sz w:val="24"/>
          <w:szCs w:val="24"/>
        </w:rPr>
      </w:pPr>
      <w:r>
        <w:rPr>
          <w:rFonts w:ascii="Carlito" w:hAnsi="Carlito"/>
          <w:sz w:val="24"/>
          <w:szCs w:val="24"/>
        </w:rPr>
        <w:t>JUSTIFICATIVA E OBJETIVO DA CONTRATAÇÃO</w:t>
      </w:r>
    </w:p>
    <w:p>
      <w:pPr>
        <w:pStyle w:val="Normal"/>
        <w:numPr>
          <w:ilvl w:val="1"/>
          <w:numId w:val="1"/>
        </w:numPr>
        <w:spacing w:lineRule="auto" w:line="276" w:before="120" w:after="120"/>
        <w:jc w:val="both"/>
        <w:rPr/>
      </w:pPr>
      <w:r>
        <w:rPr>
          <w:rFonts w:cs="Arial" w:ascii="Carlito" w:hAnsi="Carlito"/>
          <w:i/>
          <w:color w:val="000000"/>
          <w:sz w:val="24"/>
          <w:szCs w:val="24"/>
        </w:rPr>
        <w:t xml:space="preserve"> </w:t>
      </w:r>
      <w:r>
        <w:rPr>
          <w:rFonts w:cs="Times New Roman" w:ascii="Carlito" w:hAnsi="Carlito"/>
          <w:b w:val="false"/>
          <w:bCs w:val="false"/>
          <w:i w:val="false"/>
          <w:iCs w:val="false"/>
          <w:color w:val="000000"/>
          <w:sz w:val="24"/>
          <w:szCs w:val="24"/>
          <w:lang w:val="zxx" w:eastAsia="zxx" w:bidi="zxx"/>
        </w:rPr>
        <w:t>O Batalhão de Operaçõe</w:t>
      </w:r>
      <w:r>
        <w:rPr>
          <w:rFonts w:cs="Tahoma" w:ascii="Carlito" w:hAnsi="Carlito"/>
          <w:b w:val="false"/>
          <w:bCs w:val="false"/>
          <w:i w:val="false"/>
          <w:iCs w:val="false"/>
          <w:color w:val="000000"/>
          <w:sz w:val="24"/>
          <w:szCs w:val="24"/>
          <w:lang w:val="zxx" w:eastAsia="zxx" w:bidi="zxx"/>
        </w:rPr>
        <w:t>s Especiai</w:t>
      </w:r>
      <w:r>
        <w:rPr>
          <w:rFonts w:cs="Times New Roman" w:ascii="Carlito" w:hAnsi="Carlito"/>
          <w:b w:val="false"/>
          <w:bCs w:val="false"/>
          <w:i w:val="false"/>
          <w:iCs w:val="false"/>
          <w:color w:val="000000"/>
          <w:sz w:val="24"/>
          <w:szCs w:val="24"/>
          <w:lang w:val="zxx" w:eastAsia="zxx" w:bidi="zxx"/>
        </w:rPr>
        <w:t xml:space="preserve">s de Fuzileiros Navais, </w:t>
      </w:r>
      <w:r>
        <w:rPr>
          <w:rStyle w:val="Fontepargpadro"/>
          <w:rFonts w:eastAsia="Times New Roman" w:cs="Times New Roman" w:ascii="Carlito" w:hAnsi="Carlito"/>
          <w:b w:val="false"/>
          <w:bCs w:val="false"/>
          <w:i w:val="false"/>
          <w:iCs w:val="false"/>
          <w:color w:val="000000"/>
          <w:sz w:val="24"/>
          <w:szCs w:val="24"/>
          <w:highlight w:val="white"/>
          <w:lang w:val="zxx" w:eastAsia="zxx" w:bidi="zxx"/>
        </w:rPr>
        <w:t>visando</w:t>
      </w:r>
      <w:r>
        <w:rPr>
          <w:rStyle w:val="Fontepargpadro"/>
          <w:rFonts w:eastAsia="Times New Roman" w:cs="Arial" w:ascii="Carlito" w:hAnsi="Carlito"/>
          <w:b w:val="false"/>
          <w:bCs w:val="false"/>
          <w:i w:val="false"/>
          <w:iCs/>
          <w:strike w:val="false"/>
          <w:dstrike w:val="false"/>
          <w:outline w:val="false"/>
          <w:shadow w:val="false"/>
          <w:color w:val="000000"/>
          <w:sz w:val="24"/>
          <w:szCs w:val="24"/>
          <w:highlight w:val="white"/>
          <w:u w:val="none"/>
          <w:em w:val="none"/>
          <w:lang w:val="zxx" w:eastAsia="zxx" w:bidi="zxx"/>
        </w:rPr>
        <w:t xml:space="preserve"> manutenção e conservação das instalações do Batalhão</w:t>
      </w:r>
      <w:bookmarkStart w:id="0" w:name="__DdeLink__2213_519892444"/>
      <w:r>
        <w:rPr>
          <w:rStyle w:val="Fontepargpadro"/>
          <w:rFonts w:eastAsia="Times New Roman" w:cs="Times New Roman" w:ascii="Carlito" w:hAnsi="Carlito"/>
          <w:b w:val="false"/>
          <w:bCs w:val="false"/>
          <w:i w:val="false"/>
          <w:iCs w:val="false"/>
          <w:color w:val="000000"/>
          <w:sz w:val="24"/>
          <w:szCs w:val="24"/>
          <w:highlight w:val="white"/>
          <w:lang w:val="zxx" w:eastAsia="zxx" w:bidi="zxx"/>
        </w:rPr>
        <w:t xml:space="preserve">, planeja a aquisição de material para </w:t>
      </w:r>
      <w:r>
        <w:rPr>
          <w:rStyle w:val="Fontepargpadro"/>
          <w:rFonts w:eastAsia="Times New Roman" w:cs="Times New Roman" w:ascii="Carlito" w:hAnsi="Carlito"/>
          <w:b w:val="false"/>
          <w:bCs w:val="false"/>
          <w:i w:val="false"/>
          <w:iCs w:val="false"/>
          <w:color w:val="000000"/>
          <w:kern w:val="0"/>
          <w:sz w:val="24"/>
          <w:szCs w:val="24"/>
          <w:highlight w:val="white"/>
          <w:lang w:val="zxx" w:eastAsia="zxx" w:bidi="zxx"/>
        </w:rPr>
        <w:t>adestramento</w:t>
      </w:r>
      <w:r>
        <w:rPr>
          <w:rStyle w:val="Fontepargpadro"/>
          <w:rFonts w:eastAsia="Times New Roman" w:cs="Times New Roman" w:ascii="Carlito" w:hAnsi="Carlito"/>
          <w:b w:val="false"/>
          <w:bCs w:val="false"/>
          <w:i w:val="false"/>
          <w:iCs w:val="false"/>
          <w:color w:val="000000"/>
          <w:sz w:val="24"/>
          <w:szCs w:val="24"/>
          <w:lang w:val="zxx" w:eastAsia="zxx" w:bidi="zxx"/>
        </w:rPr>
        <w:t>.</w:t>
      </w:r>
      <w:bookmarkEnd w:id="0"/>
      <w:r>
        <w:rPr>
          <w:rFonts w:cs="Times New Roman" w:ascii="Carlito" w:hAnsi="Carlito"/>
          <w:b w:val="false"/>
          <w:bCs w:val="false"/>
          <w:i w:val="false"/>
          <w:iCs w:val="false"/>
          <w:color w:val="000000"/>
          <w:sz w:val="24"/>
          <w:szCs w:val="24"/>
          <w:lang w:val="zxx" w:eastAsia="zxx" w:bidi="zxx"/>
        </w:rPr>
        <w:t xml:space="preserve"> Sendo assim, realizará este processo de contratação direta na modalidade de dispensa eletrônica.</w:t>
      </w:r>
    </w:p>
    <w:p>
      <w:pPr>
        <w:pStyle w:val="ListParagraph"/>
        <w:spacing w:lineRule="auto" w:line="276" w:before="0" w:after="0"/>
        <w:contextualSpacing/>
        <w:jc w:val="both"/>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CLASSIFICAÇÃO DOS BENS COMUNS</w:t>
      </w:r>
    </w:p>
    <w:p>
      <w:pPr>
        <w:pStyle w:val="Normal"/>
        <w:numPr>
          <w:ilvl w:val="1"/>
          <w:numId w:val="1"/>
        </w:numPr>
        <w:spacing w:lineRule="auto" w:line="276" w:before="120" w:after="120"/>
        <w:jc w:val="both"/>
        <w:rPr>
          <w:rFonts w:ascii="Carlito" w:hAnsi="Carlito"/>
          <w:sz w:val="24"/>
          <w:szCs w:val="24"/>
        </w:rPr>
      </w:pPr>
      <w:r>
        <w:rPr>
          <w:rFonts w:cs="Arial" w:ascii="Carlito" w:hAnsi="Carlito"/>
          <w:b w:val="false"/>
          <w:bCs w:val="false"/>
          <w:i w:val="false"/>
          <w:iCs w:val="false"/>
          <w:color w:val="000000"/>
          <w:sz w:val="24"/>
          <w:szCs w:val="24"/>
        </w:rPr>
        <w:t>Os bens adquiridos enquadram-se na classificação de bens comuns, nos termos da Lei nº 14.133, de 2021.</w:t>
      </w:r>
      <w:r>
        <w:rPr>
          <w:rFonts w:cs="Arial" w:ascii="Carlito" w:hAnsi="Carlito"/>
          <w:i w:val="false"/>
          <w:iCs w:val="false"/>
          <w:color w:val="FF0000"/>
          <w:sz w:val="24"/>
          <w:szCs w:val="24"/>
        </w:rPr>
        <w:t xml:space="preserve"> </w:t>
      </w:r>
    </w:p>
    <w:p>
      <w:pPr>
        <w:pStyle w:val="Nivel1"/>
        <w:spacing w:lineRule="auto" w:line="276" w:before="0" w:after="0"/>
        <w:jc w:val="both"/>
        <w:rPr>
          <w:rFonts w:ascii="Carlito" w:hAnsi="Carlito"/>
          <w:i/>
          <w:i/>
          <w:iCs/>
          <w:sz w:val="24"/>
          <w:szCs w:val="24"/>
        </w:rPr>
      </w:pPr>
      <w:r>
        <w:rPr>
          <w:rFonts w:ascii="Carlito" w:hAnsi="Carlito"/>
          <w:i/>
          <w:iCs/>
          <w:sz w:val="24"/>
          <w:szCs w:val="24"/>
        </w:rPr>
      </w:r>
    </w:p>
    <w:p>
      <w:pPr>
        <w:pStyle w:val="Normal"/>
        <w:numPr>
          <w:ilvl w:val="0"/>
          <w:numId w:val="0"/>
        </w:numPr>
        <w:spacing w:lineRule="auto" w:line="276" w:before="0" w:after="0"/>
        <w:ind w:left="716" w:hanging="0"/>
        <w:jc w:val="both"/>
        <w:rPr>
          <w:rFonts w:ascii="Carlito" w:hAnsi="Carlito" w:cs="Arial"/>
          <w:i/>
          <w:i/>
          <w:color w:val="FF0000"/>
          <w:sz w:val="24"/>
          <w:szCs w:val="24"/>
        </w:rPr>
      </w:pPr>
      <w:r>
        <w:rPr>
          <w:rFonts w:cs="Arial" w:ascii="Carlito" w:hAnsi="Carlito"/>
          <w:i/>
          <w:color w:val="FF0000"/>
          <w:sz w:val="24"/>
          <w:szCs w:val="24"/>
        </w:rPr>
      </w:r>
    </w:p>
    <w:p>
      <w:pPr>
        <w:pStyle w:val="Nivel1"/>
        <w:numPr>
          <w:ilvl w:val="0"/>
          <w:numId w:val="0"/>
        </w:numPr>
        <w:spacing w:before="0" w:after="0"/>
        <w:ind w:left="360" w:hanging="0"/>
        <w:rPr>
          <w:rFonts w:ascii="Carlito" w:hAnsi="Carlito"/>
          <w:sz w:val="24"/>
          <w:szCs w:val="24"/>
        </w:rPr>
      </w:pPr>
      <w:r>
        <w:rPr>
          <w:rFonts w:ascii="Carlito" w:hAnsi="Carlito"/>
          <w:sz w:val="24"/>
          <w:szCs w:val="24"/>
        </w:rPr>
      </w:r>
    </w:p>
    <w:p>
      <w:pPr>
        <w:pStyle w:val="Nivel1"/>
        <w:numPr>
          <w:ilvl w:val="0"/>
          <w:numId w:val="1"/>
        </w:numPr>
        <w:spacing w:before="0" w:after="0"/>
        <w:rPr>
          <w:rFonts w:ascii="Carlito" w:hAnsi="Carlito"/>
          <w:sz w:val="24"/>
          <w:szCs w:val="24"/>
        </w:rPr>
      </w:pPr>
      <w:r>
        <w:rPr>
          <w:rFonts w:ascii="Carlito" w:hAnsi="Carlito"/>
          <w:b/>
          <w:bCs/>
          <w:i w:val="false"/>
          <w:iCs w:val="false"/>
          <w:color w:val="000000"/>
          <w:sz w:val="24"/>
          <w:szCs w:val="24"/>
        </w:rPr>
        <w:t>FORMA E CRITÉRIOS DE SELEÇÃO DO FORNECEDOR.</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Carlito" w:hAnsi="Carlito"/>
          <w:sz w:val="24"/>
          <w:szCs w:val="24"/>
        </w:rPr>
      </w:pPr>
      <w:r>
        <w:rPr>
          <w:rFonts w:ascii="Carlito" w:hAnsi="Carlito"/>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i w:val="false"/>
          <w:iCs w:val="false"/>
          <w:color w:val="000000"/>
          <w:sz w:val="24"/>
          <w:szCs w:val="24"/>
          <w:lang w:eastAsia="pt-BR"/>
        </w:rPr>
        <w:t xml:space="preserve">As exigências de habilitação jurídica, </w:t>
      </w:r>
      <w:r>
        <w:rPr>
          <w:rFonts w:eastAsia="WenQuanYi Micro Hei" w:ascii="Carlito" w:hAnsi="Carlito"/>
          <w:i w:val="false"/>
          <w:iCs w:val="false"/>
          <w:color w:val="000000"/>
          <w:sz w:val="24"/>
          <w:szCs w:val="24"/>
          <w:lang w:eastAsia="zh-CN" w:bidi="hi-IN"/>
        </w:rPr>
        <w:t xml:space="preserve">fiscal, social e trabalhista </w:t>
      </w:r>
      <w:r>
        <w:rPr>
          <w:rFonts w:eastAsia="Times New Roman" w:ascii="Carlito" w:hAnsi="Carlito"/>
          <w:i w:val="false"/>
          <w:iCs w:val="false"/>
          <w:color w:val="000000"/>
          <w:sz w:val="24"/>
          <w:szCs w:val="24"/>
          <w:lang w:eastAsia="pt-BR"/>
        </w:rPr>
        <w:t xml:space="preserve">são as usuais para a generalidade dos objetos, conforme disciplinado no Anexo I do Aviso de </w:t>
      </w:r>
      <w:r>
        <w:rPr>
          <w:rFonts w:ascii="Carlito" w:hAnsi="Carlito"/>
          <w:i w:val="false"/>
          <w:iCs w:val="false"/>
          <w:color w:val="000000"/>
          <w:sz w:val="24"/>
          <w:szCs w:val="24"/>
        </w:rPr>
        <w:t>Contratação</w:t>
      </w:r>
      <w:r>
        <w:rPr>
          <w:rFonts w:eastAsia="Times New Roman" w:ascii="Carlito" w:hAnsi="Carlito"/>
          <w:i w:val="false"/>
          <w:iCs w:val="false"/>
          <w:color w:val="000000"/>
          <w:sz w:val="24"/>
          <w:szCs w:val="24"/>
          <w:lang w:eastAsia="pt-BR"/>
        </w:rPr>
        <w:t xml:space="preserve"> Direta.</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ENTREGA E CRITÉRIOS DE ACEITAÇÃO DO OBJETO.</w:t>
      </w:r>
    </w:p>
    <w:p>
      <w:pPr>
        <w:pStyle w:val="Normal"/>
        <w:numPr>
          <w:ilvl w:val="1"/>
          <w:numId w:val="1"/>
        </w:numPr>
        <w:spacing w:lineRule="auto" w:line="276" w:before="119" w:after="119"/>
        <w:contextualSpacing/>
        <w:jc w:val="both"/>
        <w:rPr>
          <w:rFonts w:ascii="Carlito" w:hAnsi="Carlito"/>
          <w:sz w:val="24"/>
          <w:szCs w:val="24"/>
        </w:rPr>
      </w:pPr>
      <w:r>
        <w:rPr>
          <w:rFonts w:cs="Times New Roman" w:ascii="Carlito" w:hAnsi="Carlito"/>
          <w:b w:val="false"/>
          <w:bCs w:val="false"/>
          <w:iCs/>
          <w:color w:val="000000"/>
          <w:sz w:val="24"/>
          <w:szCs w:val="24"/>
          <w:lang w:val="zxx" w:eastAsia="zxx" w:bidi="zxx"/>
        </w:rPr>
        <w:t>Os itens deverão ser entregues n</w:t>
      </w:r>
      <w:r>
        <w:rPr>
          <w:rFonts w:cs="Times New Roman" w:ascii="Carlito" w:hAnsi="Carlito"/>
          <w:b w:val="false"/>
          <w:bCs w:val="false"/>
          <w:iCs/>
          <w:color w:val="000000"/>
          <w:sz w:val="24"/>
          <w:szCs w:val="24"/>
          <w:lang w:val="pt-BR" w:eastAsia="zxx" w:bidi="zxx"/>
        </w:rPr>
        <w:t>o Batalhão de Operações Especiais de Fuzileiros Navais</w:t>
      </w:r>
      <w:r>
        <w:rPr>
          <w:rFonts w:cs="Times New Roman" w:ascii="Carlito" w:hAnsi="Carlito"/>
          <w:b w:val="false"/>
          <w:bCs w:val="false"/>
          <w:iCs/>
          <w:color w:val="000000"/>
          <w:sz w:val="24"/>
          <w:szCs w:val="24"/>
          <w:lang w:val="zxx" w:eastAsia="zxx" w:bidi="zxx"/>
        </w:rPr>
        <w:t xml:space="preserve">, localizado na </w:t>
      </w:r>
      <w:r>
        <w:rPr>
          <w:rFonts w:cs="Arial" w:ascii="Carlito" w:hAnsi="Carlito"/>
          <w:b w:val="false"/>
          <w:bCs w:val="false"/>
          <w:iCs/>
          <w:color w:val="000000"/>
          <w:sz w:val="24"/>
          <w:szCs w:val="24"/>
          <w:lang w:val="zxx" w:eastAsia="zxx" w:bidi="zxx"/>
        </w:rPr>
        <w:t>Avenida Brasil nº 44.878 – Km 45 – Campo Grande/RJ – CEP 23.078-001, no horário das 08:00h às 16:00h, de segunda a sexta-feira</w:t>
      </w:r>
      <w:r>
        <w:rPr>
          <w:rFonts w:cs="Times New Roman" w:ascii="Carlito" w:hAnsi="Carlito"/>
          <w:b w:val="false"/>
          <w:bCs w:val="false"/>
          <w:iCs/>
          <w:color w:val="000000"/>
          <w:sz w:val="24"/>
          <w:szCs w:val="24"/>
          <w:lang w:eastAsia="zxx" w:bidi="zxx"/>
        </w:rPr>
        <w:t>.</w:t>
      </w:r>
      <w:r>
        <w:rPr>
          <w:rFonts w:cs="Times New Roman" w:ascii="Carlito" w:hAnsi="Carlito"/>
          <w:b w:val="false"/>
          <w:bCs w:val="false"/>
          <w:iCs/>
          <w:color w:val="000000"/>
          <w:sz w:val="24"/>
          <w:szCs w:val="24"/>
          <w:lang w:val="zxx" w:eastAsia="zxx" w:bidi="zxx"/>
        </w:rPr>
        <w:t xml:space="preserve"> Responsável pelo recebimento:</w:t>
      </w:r>
      <w:r>
        <w:rPr>
          <w:rFonts w:cs="Times New Roman" w:ascii="Carlito" w:hAnsi="Carlito"/>
          <w:b w:val="false"/>
          <w:bCs w:val="false"/>
          <w:iCs/>
          <w:color w:val="000000"/>
          <w:sz w:val="24"/>
          <w:szCs w:val="24"/>
          <w:lang w:eastAsia="zxx" w:bidi="zxx"/>
        </w:rPr>
        <w:t xml:space="preserve"> será um militar do Setor de Intendência. T</w:t>
      </w:r>
      <w:r>
        <w:rPr>
          <w:rFonts w:cs="Times New Roman" w:ascii="Carlito" w:hAnsi="Carlito"/>
          <w:b w:val="false"/>
          <w:bCs w:val="false"/>
          <w:iCs/>
          <w:color w:val="000000"/>
          <w:sz w:val="24"/>
          <w:szCs w:val="24"/>
          <w:lang w:val="zxx" w:eastAsia="zxx" w:bidi="zxx"/>
        </w:rPr>
        <w:t>elefone: (</w:t>
      </w:r>
      <w:r>
        <w:rPr>
          <w:rFonts w:cs="Times New Roman" w:ascii="Carlito" w:hAnsi="Carlito"/>
          <w:b w:val="false"/>
          <w:bCs w:val="false"/>
          <w:iCs/>
          <w:color w:val="000000"/>
          <w:sz w:val="24"/>
          <w:szCs w:val="24"/>
          <w:lang w:eastAsia="zxx" w:bidi="zxx"/>
        </w:rPr>
        <w:t>21</w:t>
      </w:r>
      <w:r>
        <w:rPr>
          <w:rFonts w:cs="Times New Roman" w:ascii="Carlito" w:hAnsi="Carlito"/>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 xml:space="preserve">Os bens serão recebidos provisoriamente no prazo de 02 (dois) dias, pelo(a) </w:t>
      </w:r>
      <w:r>
        <w:rPr>
          <w:rFonts w:cs="Arial" w:ascii="Carlito" w:hAnsi="Carlito"/>
          <w:iCs/>
          <w:color w:val="000000"/>
          <w:sz w:val="24"/>
          <w:szCs w:val="24"/>
        </w:rPr>
        <w:t>responsável</w:t>
      </w:r>
      <w:r>
        <w:rPr>
          <w:rFonts w:cs="Arial" w:ascii="Carlito" w:hAnsi="Carlito"/>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true"/>
        <w:bidi w:val="0"/>
        <w:spacing w:lineRule="auto" w:line="276" w:before="120" w:after="120"/>
        <w:ind w:left="1134" w:right="0" w:hanging="0"/>
        <w:jc w:val="both"/>
        <w:textAlignment w:val="baseline"/>
        <w:rPr>
          <w:rFonts w:ascii="Carlito" w:hAnsi="Carlito"/>
          <w:sz w:val="24"/>
          <w:szCs w:val="24"/>
        </w:rPr>
      </w:pPr>
      <w:r>
        <w:rPr>
          <w:rFonts w:cs="Arial" w:ascii="Carlito" w:hAnsi="Carlito"/>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true"/>
        <w:bidi w:val="0"/>
        <w:spacing w:before="0" w:after="0"/>
        <w:ind w:left="454" w:right="0" w:hanging="0"/>
        <w:jc w:val="both"/>
        <w:textAlignment w:val="baseline"/>
        <w:rPr>
          <w:rFonts w:ascii="Carlito" w:hAnsi="Carlito"/>
          <w:sz w:val="24"/>
          <w:szCs w:val="24"/>
        </w:rPr>
      </w:pPr>
      <w:r>
        <w:rPr>
          <w:rFonts w:eastAsia="Times New Roman" w:cs="Arial" w:ascii="Carlito" w:hAnsi="Carlito"/>
          <w:b/>
          <w:bCs/>
          <w:color w:val="C9211E"/>
          <w:kern w:val="0"/>
          <w:sz w:val="24"/>
          <w:szCs w:val="24"/>
          <w:lang w:val="pt-BR" w:eastAsia="en-US" w:bidi="ar-SA"/>
        </w:rPr>
        <w:t xml:space="preserve"> </w:t>
      </w:r>
      <w:r>
        <w:rPr>
          <w:rFonts w:eastAsia="Times New Roman" w:cs="Arial" w:ascii="Carlito" w:hAnsi="Carlito"/>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ascii="Carlito" w:hAnsi="Carlito"/>
          <w:b w:val="false"/>
          <w:bCs w:val="false"/>
          <w:i w:val="false"/>
          <w:iCs w:val="false"/>
          <w:color w:val="C9211E"/>
          <w:kern w:val="0"/>
          <w:sz w:val="24"/>
          <w:szCs w:val="24"/>
          <w:lang w:val="pt-BR" w:eastAsia="en-US" w:bidi="ar-SA"/>
        </w:rPr>
        <w:t xml:space="preserve"> </w:t>
      </w:r>
    </w:p>
    <w:p>
      <w:pPr>
        <w:pStyle w:val="Nivel1"/>
        <w:numPr>
          <w:ilvl w:val="0"/>
          <w:numId w:val="1"/>
        </w:numPr>
        <w:rPr>
          <w:rFonts w:ascii="Carlito" w:hAnsi="Carlito"/>
          <w:sz w:val="24"/>
          <w:szCs w:val="24"/>
        </w:rPr>
      </w:pPr>
      <w:r>
        <w:rPr>
          <w:rFonts w:ascii="Carlito" w:hAnsi="Carlito"/>
          <w:sz w:val="24"/>
          <w:szCs w:val="24"/>
          <w:lang w:eastAsia="en-US"/>
        </w:rPr>
        <w:t>OBRIGAÇÕES DA CONTRATANTE</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São obrigações da Contratante:</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 xml:space="preserve">receber o objeto no prazo e condições estabelecidas no </w:t>
      </w:r>
      <w:r>
        <w:rPr>
          <w:rFonts w:cs="Arial" w:ascii="Carlito" w:hAnsi="Carlito"/>
          <w:bCs/>
          <w:color w:val="000000"/>
          <w:sz w:val="24"/>
          <w:szCs w:val="24"/>
        </w:rPr>
        <w:t xml:space="preserve">Aviso de Dispensa Eletrônica </w:t>
      </w:r>
      <w:r>
        <w:rPr>
          <w:rFonts w:cs="Arial" w:ascii="Carlito" w:hAnsi="Carlito"/>
          <w:sz w:val="24"/>
          <w:szCs w:val="24"/>
        </w:rPr>
        <w:t>l e seus anexos;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o pagamento à Contratada</w:t>
      </w:r>
      <w:r>
        <w:rPr>
          <w:rFonts w:cs="Arial" w:ascii="Carlito" w:hAnsi="Carlito"/>
          <w:b/>
          <w:sz w:val="24"/>
          <w:szCs w:val="24"/>
        </w:rPr>
        <w:t xml:space="preserve"> </w:t>
      </w:r>
      <w:r>
        <w:rPr>
          <w:rFonts w:cs="Arial" w:ascii="Carlito" w:hAnsi="Carlito"/>
          <w:sz w:val="24"/>
          <w:szCs w:val="24"/>
        </w:rPr>
        <w:t xml:space="preserve">no valor correspondente ao fornecimento do objeto, no prazo e forma estabelecidos no </w:t>
      </w:r>
      <w:r>
        <w:rPr>
          <w:rFonts w:cs="Arial" w:ascii="Carlito" w:hAnsi="Carlito"/>
          <w:bCs/>
          <w:color w:val="000000"/>
          <w:sz w:val="24"/>
          <w:szCs w:val="24"/>
          <w:highlight w:val="white"/>
        </w:rPr>
        <w:t>Aviso de Dispensa Eletrônica</w:t>
      </w:r>
      <w:r>
        <w:rPr>
          <w:rFonts w:cs="Arial" w:ascii="Carlito" w:hAnsi="Carlito"/>
          <w:color w:val="000000"/>
          <w:sz w:val="24"/>
          <w:szCs w:val="24"/>
          <w:highlight w:val="white"/>
        </w:rPr>
        <w:t xml:space="preserve"> e seus anexos;</w:t>
      </w:r>
    </w:p>
    <w:p>
      <w:pPr>
        <w:pStyle w:val="Nivel1"/>
        <w:numPr>
          <w:ilvl w:val="0"/>
          <w:numId w:val="1"/>
        </w:numPr>
        <w:rPr>
          <w:rFonts w:ascii="Carlito" w:hAnsi="Carlito"/>
          <w:sz w:val="24"/>
          <w:szCs w:val="24"/>
        </w:rPr>
      </w:pPr>
      <w:r>
        <w:rPr>
          <w:rFonts w:ascii="Carlito" w:hAnsi="Carlito"/>
          <w:sz w:val="24"/>
          <w:szCs w:val="24"/>
        </w:rPr>
        <w:t>OBRIGAÇÕES DA CONTRATADA</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 xml:space="preserve">A Contratada deve cumprir todas as obrigações constantes no </w:t>
      </w:r>
      <w:r>
        <w:rPr>
          <w:rFonts w:cs="Arial" w:ascii="Carlito" w:hAnsi="Carlito"/>
          <w:bCs/>
          <w:color w:val="000000"/>
          <w:sz w:val="24"/>
          <w:szCs w:val="24"/>
        </w:rPr>
        <w:t>Aviso de Dispensa Eletrônica</w:t>
      </w:r>
      <w:r>
        <w:rPr>
          <w:rFonts w:cs="Arial" w:ascii="Carlito" w:hAnsi="Carlito"/>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a entrega do objeto em perfeitas condições, conforme especificações, prazo e local constantes no Termo de Referência, acompanhado da respe</w:t>
      </w:r>
      <w:r>
        <w:rPr>
          <w:rFonts w:cs="Arial" w:ascii="Carlito" w:hAnsi="Carlito"/>
          <w:color w:val="000000"/>
          <w:sz w:val="24"/>
          <w:szCs w:val="24"/>
        </w:rPr>
        <w:t xml:space="preserve">ctiva nota fiscal, na qual constarão as indicações referentes a: </w:t>
      </w:r>
      <w:r>
        <w:rPr>
          <w:rFonts w:cs="Arial" w:ascii="Carlito" w:hAnsi="Carlito"/>
          <w:i/>
          <w:color w:val="000000"/>
          <w:sz w:val="24"/>
          <w:szCs w:val="24"/>
        </w:rPr>
        <w:t>marca, fabricante, modelo, procedência e prazo de garantia ou validade;</w:t>
      </w:r>
    </w:p>
    <w:p>
      <w:pPr>
        <w:pStyle w:val="Normal"/>
        <w:widowControl/>
        <w:numPr>
          <w:ilvl w:val="0"/>
          <w:numId w:val="0"/>
        </w:numPr>
        <w:suppressAutoHyphens w:val="true"/>
        <w:overflowPunct w:val="true"/>
        <w:bidi w:val="0"/>
        <w:spacing w:lineRule="auto" w:line="276" w:before="120" w:after="120"/>
        <w:ind w:left="2268" w:right="0" w:hanging="0"/>
        <w:jc w:val="both"/>
        <w:textAlignment w:val="baseline"/>
        <w:rPr>
          <w:rFonts w:ascii="Carlito" w:hAnsi="Carlito"/>
          <w:sz w:val="24"/>
          <w:szCs w:val="24"/>
        </w:rPr>
      </w:pPr>
      <w:r>
        <w:rPr>
          <w:rFonts w:eastAsia="Times New Roman" w:cs="Arial" w:ascii="Carlito" w:hAnsi="Carlito"/>
          <w:b w:val="false"/>
          <w:bCs w:val="false"/>
          <w:i w:val="false"/>
          <w:iCs w:val="false"/>
          <w:color w:val="000000"/>
          <w:kern w:val="0"/>
          <w:sz w:val="24"/>
          <w:szCs w:val="24"/>
          <w:lang w:val="pt-BR" w:eastAsia="pt-BR" w:bidi="ar-SA"/>
        </w:rPr>
        <w:t>6.1.1.1</w:t>
        <w:tab/>
        <w:t>C</w:t>
      </w:r>
      <w:r>
        <w:rPr>
          <w:rFonts w:cs="Arial" w:ascii="Carlito" w:hAnsi="Carlito"/>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ascii="Carlito" w:hAnsi="Carlito"/>
          <w:b/>
          <w:bCs/>
          <w:i/>
          <w:color w:val="000000"/>
          <w:sz w:val="24"/>
          <w:szCs w:val="24"/>
        </w:rPr>
        <w:t xml:space="preserve"> </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color w:val="000000"/>
          <w:sz w:val="24"/>
          <w:szCs w:val="24"/>
        </w:rPr>
        <w:t>Cumprir p</w:t>
      </w:r>
      <w:r>
        <w:rPr>
          <w:rFonts w:eastAsia="MyriadPro-Regular" w:cs="Arial" w:ascii="Carlito" w:hAnsi="Carlito"/>
          <w:bCs/>
          <w:color w:val="000000"/>
          <w:sz w:val="24"/>
          <w:szCs w:val="24"/>
        </w:rPr>
        <w:t>arecer n. 00001/2021/CNS/CGU/AGU, aprovado nos termos do  DESPACHO n. 00525/2021/GAB/CGU/AGU (NUP: 00688.000723/2019-45), caso se enquadre.</w:t>
      </w:r>
    </w:p>
    <w:p>
      <w:pPr>
        <w:pStyle w:val="Nivel1"/>
        <w:numPr>
          <w:ilvl w:val="0"/>
          <w:numId w:val="1"/>
        </w:numPr>
        <w:rPr>
          <w:rFonts w:ascii="Carlito" w:hAnsi="Carlito"/>
          <w:sz w:val="24"/>
          <w:szCs w:val="24"/>
        </w:rPr>
      </w:pPr>
      <w:r>
        <w:rPr>
          <w:rFonts w:ascii="Carlito" w:hAnsi="Carlito"/>
          <w:sz w:val="24"/>
          <w:szCs w:val="24"/>
        </w:rPr>
        <w:t>DA SUBCONTRATAÇÃO</w:t>
      </w:r>
    </w:p>
    <w:p>
      <w:pPr>
        <w:pStyle w:val="Nivel1"/>
        <w:numPr>
          <w:ilvl w:val="1"/>
          <w:numId w:val="1"/>
        </w:numPr>
        <w:rPr>
          <w:rFonts w:ascii="Carlito" w:hAnsi="Carlito"/>
          <w:sz w:val="24"/>
          <w:szCs w:val="24"/>
        </w:rPr>
      </w:pPr>
      <w:r>
        <w:rPr>
          <w:rFonts w:cs="Arial" w:ascii="Carlito" w:hAnsi="Carlito"/>
          <w:b w:val="false"/>
          <w:bCs w:val="false"/>
          <w:i w:val="false"/>
          <w:iCs w:val="false"/>
          <w:color w:val="000000"/>
          <w:sz w:val="24"/>
          <w:szCs w:val="24"/>
        </w:rPr>
        <w:t>Não será admitida a subcontratação do objeto.</w:t>
      </w:r>
    </w:p>
    <w:p>
      <w:pPr>
        <w:pStyle w:val="Nivel1"/>
        <w:numPr>
          <w:ilvl w:val="0"/>
          <w:numId w:val="1"/>
        </w:numPr>
        <w:rPr>
          <w:rFonts w:ascii="Carlito" w:hAnsi="Carlito"/>
          <w:sz w:val="24"/>
          <w:szCs w:val="24"/>
        </w:rPr>
      </w:pPr>
      <w:r>
        <w:rPr>
          <w:rFonts w:ascii="Carlito" w:hAnsi="Carlito"/>
          <w:sz w:val="24"/>
          <w:szCs w:val="24"/>
          <w:lang w:eastAsia="en-US"/>
        </w:rPr>
        <w:t xml:space="preserve">DO CONTROLE </w:t>
      </w:r>
      <w:r>
        <w:rPr>
          <w:rFonts w:ascii="Carlito" w:hAnsi="Carlito"/>
          <w:color w:val="00000A"/>
          <w:sz w:val="24"/>
          <w:szCs w:val="24"/>
          <w:lang w:eastAsia="en-US"/>
        </w:rPr>
        <w:t xml:space="preserve">E FISCALIZAÇÃO DA </w:t>
      </w:r>
      <w:r>
        <w:rPr>
          <w:rFonts w:ascii="Carlito" w:hAnsi="Carlito"/>
          <w:sz w:val="24"/>
          <w:szCs w:val="24"/>
          <w:lang w:eastAsia="en-US"/>
        </w:rPr>
        <w:t>EXECUÇÃO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Carlito" w:hAnsi="Carlito"/>
          <w:sz w:val="24"/>
          <w:szCs w:val="24"/>
        </w:rPr>
      </w:pPr>
      <w:r>
        <w:rPr>
          <w:rFonts w:ascii="Carlito" w:hAnsi="Carlito"/>
          <w:sz w:val="24"/>
          <w:szCs w:val="24"/>
        </w:rPr>
        <w:t>DO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lang w:eastAsia="en-US"/>
        </w:rPr>
        <w:t xml:space="preserve">O pagamento será realizado no prazo máximo de até 30 (trinta) dias, contados a partir </w:t>
      </w:r>
      <w:r>
        <w:rPr>
          <w:rFonts w:cs="Arial" w:ascii="Carlito" w:hAnsi="Carlito"/>
          <w:color w:val="000000"/>
          <w:sz w:val="24"/>
          <w:szCs w:val="24"/>
        </w:rPr>
        <w:t xml:space="preserve">do recebimento da Nota Fiscal ou Fatura, </w:t>
      </w:r>
      <w:r>
        <w:rPr>
          <w:rFonts w:cs="Arial" w:ascii="Carlito" w:hAnsi="Carlito"/>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ascii="Carlito" w:hAnsi="Carlito"/>
          <w:color w:val="000000"/>
          <w:sz w:val="24"/>
          <w:szCs w:val="24"/>
        </w:rPr>
        <w:t>obrigação financeira pendente, decorrente de penalidade imposta ou inadimplência,</w:t>
      </w:r>
      <w:r>
        <w:rPr>
          <w:rFonts w:cs="Arial" w:ascii="Carlito" w:hAnsi="Carlito"/>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Carlito" w:hAnsi="Carlito"/>
          <w:sz w:val="24"/>
          <w:szCs w:val="24"/>
        </w:rPr>
      </w:pPr>
      <w:r>
        <w:rPr>
          <w:rFonts w:cs="Arial" w:ascii="Carlito" w:hAnsi="Carlito"/>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Quando do pagamento, será efetuada a retenção tributária prevista na legislação aplicável.</w:t>
      </w:r>
    </w:p>
    <w:p>
      <w:pPr>
        <w:pStyle w:val="Normal"/>
        <w:numPr>
          <w:ilvl w:val="2"/>
          <w:numId w:val="1"/>
        </w:numPr>
        <w:tabs>
          <w:tab w:val="clear" w:pos="367"/>
          <w:tab w:val="left" w:pos="1440" w:leader="none"/>
        </w:tabs>
        <w:snapToGrid w:val="false"/>
        <w:spacing w:lineRule="auto" w:line="276" w:before="120" w:after="120"/>
        <w:ind w:left="1134" w:hanging="0"/>
        <w:jc w:val="both"/>
        <w:rPr>
          <w:rFonts w:ascii="Carlito" w:hAnsi="Carlito"/>
          <w:sz w:val="24"/>
          <w:szCs w:val="24"/>
        </w:rPr>
      </w:pPr>
      <w:r>
        <w:rPr>
          <w:rFonts w:cs="Arial" w:ascii="Carlito" w:hAnsi="Carlito"/>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ascii="Carlito" w:hAnsi="Carlito"/>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I x N x VP, sendo:</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Encargos moratórios;</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N = Número de dias entre a data prevista para o pagamento e a do efetivo pagamento;</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VP = Valor da parcela a ser paga.</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I = Índice de compensação financeira = 0,00016438, assim apurado:</w:t>
      </w:r>
    </w:p>
    <w:tbl>
      <w:tblPr>
        <w:tblStyle w:val="Tabelacomgrade"/>
        <w:tblW w:w="8647" w:type="dxa"/>
        <w:jc w:val="left"/>
        <w:tblInd w:w="425" w:type="dxa"/>
        <w:tblLayout w:type="fixed"/>
        <w:tblCellMar>
          <w:top w:w="0" w:type="dxa"/>
          <w:left w:w="453" w:type="dxa"/>
          <w:bottom w:w="0" w:type="dxa"/>
          <w:right w:w="108" w:type="dxa"/>
        </w:tblCellMar>
        <w:tblLook w:val="04a0" w:noHBand="0" w:noVBand="1" w:firstColumn="1" w:lastRow="0" w:lastColumn="0" w:firstRow="1"/>
      </w:tblPr>
      <w:tblGrid>
        <w:gridCol w:w="2149"/>
        <w:gridCol w:w="579"/>
        <w:gridCol w:w="1247"/>
        <w:gridCol w:w="4671"/>
      </w:tblGrid>
      <w:tr>
        <w:trPr/>
        <w:tc>
          <w:tcPr>
            <w:tcW w:w="2149" w:type="dxa"/>
            <w:tcBorders>
              <w:top w:val="nil"/>
              <w:left w:val="nil"/>
              <w:bottom w:val="nil"/>
              <w:right w:val="nil"/>
            </w:tcBorders>
            <w:shd w:fill="auto" w:val="clear"/>
            <w:vAlign w:val="center"/>
          </w:tcPr>
          <w:p>
            <w:pPr>
              <w:pStyle w:val="Normal"/>
              <w:widowControl w:val="false"/>
              <w:tabs>
                <w:tab w:val="clear" w:pos="367"/>
                <w:tab w:val="left" w:pos="1701" w:leader="none"/>
              </w:tabs>
              <w:jc w:val="center"/>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 (TX)</w:t>
            </w:r>
          </w:p>
        </w:tc>
        <w:tc>
          <w:tcPr>
            <w:tcW w:w="579" w:type="dxa"/>
            <w:tcBorders>
              <w:top w:val="nil"/>
              <w:left w:val="nil"/>
              <w:bottom w:val="nil"/>
              <w:right w:val="nil"/>
            </w:tcBorders>
            <w:shd w:fill="auto" w:val="clear"/>
            <w:vAlign w:val="center"/>
          </w:tcPr>
          <w:p>
            <w:pPr>
              <w:pStyle w:val="Normal"/>
              <w:widowControl w:val="false"/>
              <w:tabs>
                <w:tab w:val="clear" w:pos="367"/>
                <w:tab w:val="left" w:pos="1701" w:leader="none"/>
              </w:tabs>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w:t>
            </w:r>
          </w:p>
        </w:tc>
        <w:tc>
          <w:tcPr>
            <w:tcW w:w="1247" w:type="dxa"/>
            <w:tcBorders>
              <w:top w:val="nil"/>
              <w:left w:val="nil"/>
              <w:right w:val="nil"/>
            </w:tcBorders>
            <w:shd w:fill="auto" w:val="clear"/>
          </w:tcPr>
          <w:p>
            <w:pPr>
              <w:pStyle w:val="Normal"/>
              <w:widowControl w:val="false"/>
              <w:tabs>
                <w:tab w:val="clear" w:pos="367"/>
                <w:tab w:val="left" w:pos="1701" w:leader="none"/>
              </w:tabs>
              <w:jc w:val="center"/>
              <w:rPr>
                <w:rFonts w:ascii="Carlito" w:hAnsi="Carlito" w:eastAsia="" w:eastAsiaTheme="minorEastAsia"/>
                <w:sz w:val="24"/>
                <w:szCs w:val="24"/>
                <w:lang w:eastAsia="en-US"/>
              </w:rPr>
            </w:pPr>
            <w:r>
              <w:rPr>
                <w:rFonts w:eastAsia="ＭＳ 明朝" w:cs="Arial" w:ascii="Carlito" w:hAnsi="Carlito"/>
                <w:color w:val="000000"/>
                <w:sz w:val="24"/>
                <w:szCs w:val="24"/>
                <w:lang w:eastAsia="en-US"/>
              </w:rPr>
              <w:t>( 6 / 100 )</w:t>
            </w:r>
          </w:p>
        </w:tc>
        <w:tc>
          <w:tcPr>
            <w:tcW w:w="4671" w:type="dxa"/>
            <w:tcBorders>
              <w:top w:val="nil"/>
              <w:left w:val="nil"/>
              <w:bottom w:val="nil"/>
              <w:right w:val="nil"/>
            </w:tcBorders>
            <w:shd w:fill="auto" w:val="clear"/>
            <w:vAlign w:val="center"/>
          </w:tcPr>
          <w:p>
            <w:pPr>
              <w:pStyle w:val="Normal"/>
              <w:widowControl w:val="false"/>
              <w:tabs>
                <w:tab w:val="clear" w:pos="367"/>
                <w:tab w:val="left" w:pos="1701" w:leader="none"/>
              </w:tabs>
              <w:ind w:left="742" w:hanging="0"/>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 0,00016438</w:t>
            </w:r>
          </w:p>
          <w:p>
            <w:pPr>
              <w:pStyle w:val="Normal"/>
              <w:widowControl w:val="false"/>
              <w:tabs>
                <w:tab w:val="clear" w:pos="367"/>
                <w:tab w:val="left" w:pos="1701" w:leader="none"/>
              </w:tabs>
              <w:ind w:left="742" w:hanging="0"/>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TX = Percentual da taxa anual = 6%</w:t>
            </w:r>
          </w:p>
        </w:tc>
      </w:tr>
    </w:tbl>
    <w:p>
      <w:pPr>
        <w:pStyle w:val="Normal"/>
        <w:rPr>
          <w:rFonts w:ascii="Carlito" w:hAnsi="Carlito"/>
          <w:sz w:val="24"/>
          <w:szCs w:val="24"/>
        </w:rPr>
      </w:pPr>
      <w:r>
        <w:rPr>
          <w:rFonts w:ascii="Carlito" w:hAnsi="Carlito"/>
          <w:sz w:val="24"/>
          <w:szCs w:val="24"/>
        </w:rPr>
        <w:t xml:space="preserve">                                                            </w:t>
      </w:r>
      <w:r>
        <w:rPr>
          <w:rFonts w:ascii="Carlito" w:hAnsi="Carlito"/>
          <w:sz w:val="24"/>
          <w:szCs w:val="24"/>
        </w:rPr>
        <w:t>365</w:t>
      </w:r>
    </w:p>
    <w:p>
      <w:pPr>
        <w:pStyle w:val="Normal"/>
        <w:rPr>
          <w:rFonts w:ascii="Carlito" w:hAnsi="Carlito"/>
          <w:sz w:val="24"/>
          <w:szCs w:val="24"/>
        </w:rPr>
      </w:pPr>
      <w:r>
        <w:rPr>
          <w:rFonts w:ascii="Carlito" w:hAnsi="Carlito"/>
          <w:sz w:val="24"/>
          <w:szCs w:val="24"/>
        </w:rPr>
      </w:r>
    </w:p>
    <w:p>
      <w:pPr>
        <w:pStyle w:val="Normal"/>
        <w:widowControl/>
        <w:numPr>
          <w:ilvl w:val="0"/>
          <w:numId w:val="1"/>
        </w:numPr>
        <w:overflowPunct w:val="false"/>
        <w:bidi w:val="0"/>
        <w:spacing w:lineRule="auto" w:line="276" w:before="120" w:after="120"/>
        <w:ind w:left="454" w:right="0" w:hanging="454"/>
        <w:jc w:val="both"/>
        <w:rPr>
          <w:rFonts w:ascii="Carlito" w:hAnsi="Carlito"/>
          <w:sz w:val="24"/>
          <w:szCs w:val="24"/>
        </w:rPr>
      </w:pPr>
      <w:r>
        <w:rPr>
          <w:rFonts w:cs="Arial" w:ascii="Carlito" w:hAnsi="Carlito"/>
          <w:b/>
          <w:bCs/>
          <w:sz w:val="24"/>
          <w:szCs w:val="24"/>
        </w:rPr>
        <w:t>DO INSTRUMENTO CONTRATUAL</w:t>
      </w:r>
    </w:p>
    <w:p>
      <w:pPr>
        <w:pStyle w:val="Normal"/>
        <w:widowControl/>
        <w:numPr>
          <w:ilvl w:val="1"/>
          <w:numId w:val="1"/>
        </w:numPr>
        <w:overflowPunct w:val="false"/>
        <w:bidi w:val="0"/>
        <w:spacing w:lineRule="auto" w:line="276" w:before="120" w:after="120"/>
        <w:jc w:val="both"/>
        <w:rPr>
          <w:rFonts w:ascii="Carlito" w:hAnsi="Carlito"/>
          <w:sz w:val="24"/>
          <w:szCs w:val="24"/>
        </w:rPr>
      </w:pPr>
      <w:r>
        <w:rPr>
          <w:rFonts w:eastAsia="ＭＳ 明朝" w:cs="Arial" w:ascii="Carlito" w:hAnsi="Carlito"/>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numPr>
          <w:ilvl w:val="0"/>
          <w:numId w:val="0"/>
        </w:numPr>
        <w:bidi w:val="0"/>
        <w:spacing w:lineRule="auto" w:line="276" w:before="0" w:after="170"/>
        <w:ind w:left="716" w:right="0" w:hanging="0"/>
        <w:contextualSpacing/>
        <w:jc w:val="both"/>
        <w:rPr>
          <w:rFonts w:ascii="Carlito" w:hAnsi="Carlito" w:cs="Times New Roman"/>
          <w:b/>
          <w:b/>
          <w:bCs/>
          <w:color w:val="000000"/>
          <w:sz w:val="24"/>
          <w:szCs w:val="24"/>
        </w:rPr>
      </w:pPr>
      <w:r>
        <w:rPr>
          <w:rFonts w:cs="Times New Roman" w:ascii="Carlito" w:hAnsi="Carlito"/>
          <w:b/>
          <w:bCs/>
          <w:color w:val="000000"/>
          <w:sz w:val="24"/>
          <w:szCs w:val="24"/>
        </w:rPr>
      </w:r>
    </w:p>
    <w:p>
      <w:pPr>
        <w:pStyle w:val="ListParagraph"/>
        <w:widowControl/>
        <w:numPr>
          <w:ilvl w:val="0"/>
          <w:numId w:val="0"/>
        </w:numPr>
        <w:bidi w:val="0"/>
        <w:spacing w:lineRule="auto" w:line="276" w:before="0" w:after="170"/>
        <w:ind w:left="716" w:right="0" w:hanging="0"/>
        <w:contextualSpacing/>
        <w:jc w:val="both"/>
        <w:rPr>
          <w:rFonts w:ascii="Carlito" w:hAnsi="Carlito" w:cs="Times New Roman"/>
          <w:b/>
          <w:b/>
          <w:bCs/>
          <w:color w:val="000000"/>
          <w:sz w:val="24"/>
          <w:szCs w:val="24"/>
        </w:rPr>
      </w:pPr>
      <w:r>
        <w:rPr>
          <w:rFonts w:cs="Times New Roman" w:ascii="Carlito" w:hAnsi="Carlito"/>
          <w:b/>
          <w:bCs/>
          <w:color w:val="000000"/>
          <w:sz w:val="24"/>
          <w:szCs w:val="24"/>
        </w:rPr>
      </w:r>
    </w:p>
    <w:p>
      <w:pPr>
        <w:pStyle w:val="Nivel1"/>
        <w:numPr>
          <w:ilvl w:val="0"/>
          <w:numId w:val="1"/>
        </w:numPr>
        <w:spacing w:before="0" w:after="0"/>
        <w:rPr>
          <w:rFonts w:ascii="Carlito" w:hAnsi="Carlito"/>
          <w:sz w:val="24"/>
          <w:szCs w:val="24"/>
        </w:rPr>
      </w:pPr>
      <w:r>
        <w:rPr>
          <w:rFonts w:ascii="Carlito" w:hAnsi="Carlito"/>
          <w:color w:val="000000"/>
          <w:sz w:val="24"/>
          <w:szCs w:val="24"/>
        </w:rPr>
        <w:t>ADEQUAÇÃO ORÇAMENTÁRIA</w:t>
      </w:r>
      <w:r>
        <w:rPr>
          <w:rFonts w:ascii="Carlito" w:hAnsi="Carlito"/>
          <w:color w:val="2A6099"/>
          <w:sz w:val="24"/>
          <w:szCs w:val="24"/>
        </w:rPr>
        <w:t xml:space="preserve"> .</w:t>
      </w:r>
    </w:p>
    <w:p>
      <w:pPr>
        <w:pStyle w:val="Normal"/>
        <w:spacing w:before="0" w:after="0"/>
        <w:rPr>
          <w:rFonts w:ascii="Carlito" w:hAnsi="Carlito"/>
          <w:color w:val="2A6099"/>
          <w:sz w:val="24"/>
          <w:szCs w:val="24"/>
        </w:rPr>
      </w:pPr>
      <w:r>
        <w:rPr>
          <w:rFonts w:ascii="Carlito" w:hAnsi="Carlito"/>
          <w:color w:val="2A6099"/>
          <w:sz w:val="24"/>
          <w:szCs w:val="24"/>
        </w:rPr>
      </w:r>
    </w:p>
    <w:p>
      <w:pPr>
        <w:pStyle w:val="Normal"/>
        <w:spacing w:before="0" w:after="0"/>
        <w:rPr>
          <w:rFonts w:ascii="Carlito" w:hAnsi="Carlito"/>
          <w:color w:val="2A6099"/>
          <w:sz w:val="24"/>
          <w:szCs w:val="24"/>
        </w:rPr>
      </w:pPr>
      <w:r>
        <w:rPr>
          <w:rFonts w:ascii="Carlito" w:hAnsi="Carlito"/>
          <w:color w:val="2A6099"/>
          <w:sz w:val="24"/>
          <w:szCs w:val="24"/>
        </w:rPr>
      </w:r>
    </w:p>
    <w:p>
      <w:pPr>
        <w:pStyle w:val="ListParagraph"/>
        <w:numPr>
          <w:ilvl w:val="1"/>
          <w:numId w:val="1"/>
        </w:numPr>
        <w:spacing w:lineRule="auto" w:line="276" w:before="0" w:after="0"/>
        <w:contextualSpacing/>
        <w:jc w:val="both"/>
        <w:rPr>
          <w:rFonts w:ascii="Carlito" w:hAnsi="Carlito"/>
          <w:sz w:val="24"/>
          <w:szCs w:val="24"/>
        </w:rPr>
      </w:pPr>
      <w:r>
        <w:rPr>
          <w:rFonts w:cs="Arial" w:ascii="Carlito" w:hAnsi="Carlito"/>
          <w:bCs/>
          <w:i w:val="false"/>
          <w:iCs w:val="false"/>
          <w:color w:val="000000"/>
          <w:sz w:val="24"/>
          <w:szCs w:val="24"/>
        </w:rPr>
        <w:t xml:space="preserve">Encontra-se no  </w:t>
      </w:r>
      <w:r>
        <w:rPr>
          <w:rFonts w:cs="Arial" w:ascii="Carlito" w:hAnsi="Carlito"/>
          <w:bCs/>
          <w:i w:val="false"/>
          <w:iCs w:val="false"/>
          <w:color w:val="000000"/>
          <w:sz w:val="24"/>
          <w:szCs w:val="24"/>
          <w:highlight w:val="white"/>
        </w:rPr>
        <w:t>Aviso de Dispensa Eletrônica item 8, subitem 8.1.</w:t>
      </w:r>
    </w:p>
    <w:p>
      <w:pPr>
        <w:pStyle w:val="ListParagraph"/>
        <w:spacing w:lineRule="auto" w:line="276" w:before="0" w:after="0"/>
        <w:contextualSpacing/>
        <w:jc w:val="both"/>
        <w:rPr>
          <w:rFonts w:ascii="Carlito" w:hAnsi="Carlito"/>
          <w:sz w:val="24"/>
          <w:szCs w:val="24"/>
        </w:rPr>
      </w:pPr>
      <w:r>
        <w:rPr/>
      </w:r>
    </w:p>
    <w:p>
      <w:pPr>
        <w:pStyle w:val="ListParagraph"/>
        <w:spacing w:lineRule="auto" w:line="276" w:before="0" w:after="0"/>
        <w:contextualSpacing/>
        <w:jc w:val="both"/>
        <w:rPr>
          <w:rFonts w:ascii="Carlito" w:hAnsi="Carlito"/>
          <w:sz w:val="24"/>
          <w:szCs w:val="24"/>
        </w:rPr>
      </w:pPr>
      <w:r>
        <w:rPr/>
      </w:r>
    </w:p>
    <w:p>
      <w:pPr>
        <w:pStyle w:val="ListParagraph"/>
        <w:spacing w:lineRule="auto" w:line="276" w:before="0" w:after="0"/>
        <w:contextualSpacing/>
        <w:jc w:val="both"/>
        <w:rPr>
          <w:rFonts w:ascii="Carlito" w:hAnsi="Carlito"/>
          <w:sz w:val="24"/>
          <w:szCs w:val="24"/>
        </w:rPr>
      </w:pPr>
      <w:r>
        <w:rPr/>
      </w:r>
    </w:p>
    <w:p>
      <w:pPr>
        <w:pStyle w:val="ListParagraph"/>
        <w:spacing w:lineRule="auto" w:line="276" w:before="0" w:after="0"/>
        <w:contextualSpacing/>
        <w:jc w:val="both"/>
        <w:rPr>
          <w:rFonts w:ascii="Carlito" w:hAnsi="Carlito"/>
          <w:sz w:val="24"/>
          <w:szCs w:val="24"/>
        </w:rPr>
      </w:pPr>
      <w:r>
        <w:rPr/>
      </w:r>
    </w:p>
    <w:p>
      <w:pPr>
        <w:pStyle w:val="ListParagraph"/>
        <w:spacing w:lineRule="auto" w:line="276" w:before="0" w:after="0"/>
        <w:contextualSpacing/>
        <w:jc w:val="both"/>
        <w:rPr>
          <w:rFonts w:ascii="Carlito" w:hAnsi="Carlito"/>
          <w:sz w:val="24"/>
          <w:szCs w:val="24"/>
        </w:rPr>
      </w:pPr>
      <w:r>
        <w:rPr/>
      </w:r>
    </w:p>
    <w:p>
      <w:pPr>
        <w:pStyle w:val="Normal"/>
        <w:widowControl/>
        <w:suppressAutoHyphens w:val="true"/>
        <w:overflowPunct w:val="true"/>
        <w:bidi w:val="0"/>
        <w:spacing w:lineRule="auto" w:line="276" w:before="0" w:after="0"/>
        <w:ind w:left="1417" w:right="0" w:hanging="0"/>
        <w:jc w:val="both"/>
        <w:textAlignment w:val="baseline"/>
        <w:rPr>
          <w:rFonts w:ascii="Carlito" w:hAnsi="Carlito" w:cs="Arial"/>
          <w:bCs/>
          <w:i/>
          <w:i/>
          <w:iCs/>
          <w:color w:val="2A6099"/>
          <w:sz w:val="24"/>
          <w:szCs w:val="24"/>
        </w:rPr>
      </w:pPr>
      <w:r>
        <w:rPr>
          <w:rFonts w:cs="Arial" w:ascii="Carlito" w:hAnsi="Carlito"/>
          <w:bCs/>
          <w:i/>
          <w:iCs/>
          <w:color w:val="2A6099"/>
          <w:sz w:val="24"/>
          <w:szCs w:val="24"/>
        </w:rPr>
      </w:r>
    </w:p>
    <w:p>
      <w:pPr>
        <w:pStyle w:val="Nivel1"/>
        <w:numPr>
          <w:ilvl w:val="0"/>
          <w:numId w:val="1"/>
        </w:numPr>
        <w:spacing w:before="120" w:after="120"/>
        <w:ind w:left="360" w:right="-30" w:hanging="0"/>
        <w:rPr>
          <w:rFonts w:ascii="Carlito" w:hAnsi="Carlito"/>
          <w:sz w:val="24"/>
          <w:szCs w:val="24"/>
        </w:rPr>
      </w:pPr>
      <w:r>
        <w:rPr>
          <w:rFonts w:ascii="Carlito" w:hAnsi="Carlito"/>
          <w:bCs/>
          <w:sz w:val="24"/>
          <w:szCs w:val="24"/>
        </w:rPr>
        <w:t xml:space="preserve">ESTIMATIVA DE </w:t>
      </w:r>
      <w:r>
        <w:rPr>
          <w:rFonts w:ascii="Carlito" w:hAnsi="Carlito"/>
          <w:sz w:val="24"/>
          <w:szCs w:val="24"/>
        </w:rPr>
        <w:t>PREÇOS</w:t>
      </w:r>
      <w:r>
        <w:rPr>
          <w:rFonts w:ascii="Carlito" w:hAnsi="Carlito"/>
          <w:bCs/>
          <w:sz w:val="24"/>
          <w:szCs w:val="24"/>
        </w:rPr>
        <w:t xml:space="preserve"> E PREÇOS REFERENCIAIS.</w:t>
      </w:r>
    </w:p>
    <w:p>
      <w:pPr>
        <w:pStyle w:val="Normal"/>
        <w:spacing w:before="120" w:after="120"/>
        <w:ind w:right="-30" w:hanging="0"/>
        <w:rPr>
          <w:rFonts w:ascii="Carlito" w:hAnsi="Carlito"/>
          <w:sz w:val="24"/>
          <w:szCs w:val="24"/>
        </w:rPr>
      </w:pPr>
      <w:r>
        <w:rPr>
          <w:rFonts w:ascii="Carlito" w:hAnsi="Carlito"/>
          <w:sz w:val="24"/>
          <w:szCs w:val="24"/>
        </w:rPr>
      </w:r>
    </w:p>
    <w:p>
      <w:pPr>
        <w:pStyle w:val="Nivel1"/>
        <w:keepNext w:val="true"/>
        <w:keepLines/>
        <w:widowControl/>
        <w:numPr>
          <w:ilvl w:val="1"/>
          <w:numId w:val="1"/>
        </w:numPr>
        <w:bidi w:val="0"/>
        <w:spacing w:lineRule="auto" w:line="276" w:before="120" w:after="120"/>
        <w:jc w:val="both"/>
        <w:rPr>
          <w:rFonts w:ascii="Carlito" w:hAnsi="Carlito"/>
          <w:sz w:val="24"/>
          <w:szCs w:val="24"/>
        </w:rPr>
      </w:pPr>
      <w:r>
        <w:rPr>
          <w:rFonts w:ascii="Carlito" w:hAnsi="Carlito"/>
          <w:b w:val="false"/>
          <w:bCs w:val="false"/>
          <w:i w:val="false"/>
          <w:iCs w:val="false"/>
          <w:color w:val="000000"/>
          <w:sz w:val="24"/>
          <w:szCs w:val="24"/>
        </w:rPr>
        <w:t xml:space="preserve">O custo estimado da aquisição é de </w:t>
      </w:r>
      <w:r>
        <w:rPr>
          <w:rFonts w:eastAsia="Times New Roman" w:cs="Times New Roman" w:ascii="Carlito" w:hAnsi="Carlito"/>
          <w:b w:val="false"/>
          <w:bCs w:val="false"/>
          <w:i w:val="false"/>
          <w:iCs w:val="false"/>
          <w:color w:val="000000"/>
          <w:sz w:val="24"/>
          <w:szCs w:val="24"/>
        </w:rPr>
        <w:t>R$ 620,00</w:t>
      </w:r>
      <w:r>
        <w:rPr>
          <w:rFonts w:eastAsia="Times New Roman" w:cs="Times New Roman" w:ascii="Carlito" w:hAnsi="Carlito"/>
          <w:b w:val="false"/>
          <w:bCs w:val="false"/>
          <w:i w:val="false"/>
          <w:iCs w:val="false"/>
          <w:color w:val="000000"/>
          <w:kern w:val="0"/>
          <w:sz w:val="24"/>
          <w:szCs w:val="24"/>
          <w:lang w:val="pt-BR" w:eastAsia="pt-BR" w:bidi="ar-SA"/>
        </w:rPr>
        <w:t>.</w:t>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b w:val="false"/>
          <w:bCs w:val="false"/>
          <w:color w:val="000000"/>
          <w:sz w:val="24"/>
          <w:szCs w:val="24"/>
        </w:rPr>
        <w:t xml:space="preserve">Rio de Janeiro, RJ. Em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2023.</w:t>
      </w:r>
    </w:p>
    <w:p>
      <w:pPr>
        <w:pStyle w:val="Normal"/>
        <w:widowControl/>
        <w:tabs>
          <w:tab w:val="clear" w:pos="367"/>
          <w:tab w:val="left" w:pos="2836" w:leader="none"/>
        </w:tabs>
        <w:bidi w:val="0"/>
        <w:spacing w:lineRule="auto" w:line="240" w:before="0" w:after="0"/>
        <w:ind w:left="0" w:right="0" w:hanging="0"/>
        <w:jc w:val="left"/>
        <w:rPr>
          <w:rFonts w:ascii="Carlito" w:hAnsi="Carlito"/>
          <w:sz w:val="24"/>
          <w:szCs w:val="24"/>
        </w:rPr>
      </w:pPr>
      <w:r>
        <w:rPr>
          <w:rFonts w:cs="Times New Roman" w:ascii="Carlito" w:hAnsi="Carlito"/>
          <w:b w:val="false"/>
          <w:i w:val="false"/>
          <w:strike w:val="false"/>
          <w:dstrike w:val="false"/>
          <w:outline w:val="false"/>
          <w:shadow w:val="false"/>
          <w:color w:val="000000"/>
          <w:sz w:val="24"/>
          <w:szCs w:val="24"/>
          <w:u w:val="none"/>
          <w:em w:val="none"/>
        </w:rPr>
        <w:t xml:space="preserve">Setor solicitante: </w:t>
      </w:r>
      <w:r>
        <w:rPr>
          <w:rFonts w:eastAsia="Times New Roman" w:cs="Times New Roman" w:ascii="Carlito" w:hAnsi="Carlito"/>
          <w:b w:val="false"/>
          <w:i w:val="false"/>
          <w:strike w:val="false"/>
          <w:dstrike w:val="false"/>
          <w:outline w:val="false"/>
          <w:shadow w:val="false"/>
          <w:color w:val="000000"/>
          <w:kern w:val="0"/>
          <w:sz w:val="24"/>
          <w:szCs w:val="24"/>
          <w:u w:val="none"/>
          <w:em w:val="none"/>
          <w:lang w:val="pt-BR" w:eastAsia="pt-BR" w:bidi="ar-SA"/>
        </w:rPr>
        <w:t>SegOrg</w:t>
      </w:r>
      <w:r>
        <w:rPr>
          <w:rFonts w:cs="Times New Roman" w:ascii="Carlito" w:hAnsi="Carlito"/>
          <w:b w:val="false"/>
          <w:i w:val="false"/>
          <w:strike w:val="false"/>
          <w:dstrike w:val="false"/>
          <w:outline w:val="false"/>
          <w:shadow w:val="false"/>
          <w:color w:val="000000"/>
          <w:sz w:val="24"/>
          <w:szCs w:val="24"/>
          <w:u w:val="none"/>
          <w:em w:val="none"/>
        </w:rPr>
        <w:t>.</w:t>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bidi w:val="0"/>
        <w:jc w:val="center"/>
        <w:rPr>
          <w:rFonts w:ascii="Arial" w:hAnsi="Arial"/>
          <w:b/>
          <w:b/>
          <w:bCs/>
          <w:color w:val="000000"/>
          <w:sz w:val="24"/>
          <w:szCs w:val="24"/>
        </w:rPr>
      </w:pPr>
      <w:r>
        <w:rPr>
          <w:rFonts w:ascii="Arial" w:hAnsi="Arial"/>
          <w:b/>
          <w:bCs/>
          <w:i w:val="false"/>
          <w:strike w:val="false"/>
          <w:dstrike w:val="false"/>
          <w:outline w:val="false"/>
          <w:shadow w:val="false"/>
          <w:color w:val="000000"/>
          <w:kern w:val="2"/>
          <w:sz w:val="24"/>
          <w:szCs w:val="24"/>
          <w:u w:val="none"/>
          <w:shd w:fill="auto" w:val="clear"/>
          <w:em w:val="none"/>
        </w:rPr>
        <w:t xml:space="preserve">GIAN </w:t>
      </w:r>
      <w:r>
        <w:rPr>
          <w:rFonts w:ascii="Arial" w:hAnsi="Arial"/>
          <w:b w:val="false"/>
          <w:bCs w:val="false"/>
          <w:i w:val="false"/>
          <w:strike w:val="false"/>
          <w:dstrike w:val="false"/>
          <w:outline w:val="false"/>
          <w:shadow w:val="false"/>
          <w:color w:val="000000"/>
          <w:kern w:val="2"/>
          <w:sz w:val="24"/>
          <w:szCs w:val="24"/>
          <w:u w:val="none"/>
          <w:shd w:fill="auto" w:val="clear"/>
          <w:em w:val="none"/>
        </w:rPr>
        <w:t>TAYLOR DA SILVEIRA</w:t>
      </w:r>
    </w:p>
    <w:p>
      <w:pPr>
        <w:pStyle w:val="Calibri"/>
        <w:rPr>
          <w:rFonts w:ascii="Arial" w:hAnsi="Arial"/>
          <w:sz w:val="24"/>
          <w:szCs w:val="24"/>
          <w:shd w:fill="auto" w:val="clear"/>
        </w:rPr>
      </w:pPr>
      <w:r>
        <w:rPr>
          <w:rFonts w:eastAsia="Times New Roman" w:cs="Times New Roman" w:ascii="Arial" w:hAnsi="Arial"/>
          <w:color w:val="000000"/>
          <w:sz w:val="24"/>
          <w:szCs w:val="24"/>
          <w:shd w:fill="auto" w:val="clear"/>
        </w:rPr>
        <w:t>SO</w:t>
      </w:r>
      <w:r>
        <w:rPr>
          <w:rFonts w:eastAsia="Times New Roman" w:cs="Times New Roman" w:ascii="Arial" w:hAnsi="Arial"/>
          <w:color w:val="000000"/>
          <w:sz w:val="24"/>
          <w:szCs w:val="24"/>
          <w:shd w:fill="auto" w:val="clear"/>
        </w:rPr>
        <w:t>-</w:t>
      </w:r>
      <w:r>
        <w:rPr>
          <w:rFonts w:eastAsia="Times New Roman" w:cs="Times New Roman" w:ascii="Arial" w:hAnsi="Arial"/>
          <w:color w:val="000000"/>
          <w:sz w:val="24"/>
          <w:szCs w:val="24"/>
          <w:shd w:fill="auto" w:val="clear"/>
        </w:rPr>
        <w:t>FN-</w:t>
      </w:r>
      <w:r>
        <w:rPr>
          <w:rFonts w:eastAsia="Times New Roman" w:cs="Times New Roman" w:ascii="Arial" w:hAnsi="Arial"/>
          <w:color w:val="000000"/>
          <w:sz w:val="24"/>
          <w:szCs w:val="24"/>
          <w:shd w:fill="auto" w:val="clear"/>
        </w:rPr>
        <w:t>AT</w:t>
      </w:r>
    </w:p>
    <w:p>
      <w:pPr>
        <w:pStyle w:val="Calibri"/>
        <w:jc w:val="center"/>
        <w:rPr>
          <w:rFonts w:ascii="Arial" w:hAnsi="Arial"/>
          <w:sz w:val="24"/>
          <w:szCs w:val="24"/>
          <w:highlight w:val="none"/>
          <w:shd w:fill="auto" w:val="clear"/>
        </w:rPr>
      </w:pPr>
      <w:r>
        <w:rPr>
          <w:rFonts w:eastAsia="Times New Roman" w:cs="Times New Roman" w:ascii="Carlito" w:hAnsi="Carlito"/>
          <w:b w:val="false"/>
          <w:bCs w:val="false"/>
          <w:i w:val="false"/>
          <w:strike w:val="false"/>
          <w:dstrike w:val="false"/>
          <w:outline w:val="false"/>
          <w:shadow w:val="false"/>
          <w:color w:val="000000"/>
          <w:kern w:val="2"/>
          <w:sz w:val="24"/>
          <w:szCs w:val="24"/>
          <w:u w:val="none"/>
          <w:shd w:fill="auto" w:val="clear"/>
          <w:em w:val="none"/>
          <w:lang w:val="pt-BR" w:eastAsia="pt-BR" w:bidi="ar-SA"/>
        </w:rPr>
        <w:t>A</w:t>
      </w:r>
      <w:r>
        <w:rPr>
          <w:rFonts w:eastAsia="Times New Roman" w:cs="Times New Roman" w:ascii="Carlito" w:hAnsi="Carlito"/>
          <w:b w:val="false"/>
          <w:bCs w:val="false"/>
          <w:i w:val="false"/>
          <w:strike w:val="false"/>
          <w:dstrike w:val="false"/>
          <w:outline w:val="false"/>
          <w:shadow w:val="false"/>
          <w:color w:val="000000"/>
          <w:kern w:val="2"/>
          <w:sz w:val="24"/>
          <w:szCs w:val="24"/>
          <w:u w:val="none"/>
          <w:shd w:fill="auto" w:val="clear"/>
          <w:em w:val="none"/>
          <w:lang w:val="pt-BR" w:eastAsia="pt-BR" w:bidi="ar-SA"/>
        </w:rPr>
        <w:t>djunto de Inteligência</w:t>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color w:val="000000"/>
          <w:sz w:val="24"/>
          <w:szCs w:val="24"/>
        </w:rPr>
      </w:pPr>
      <w:r>
        <w:rPr>
          <w:rFonts w:cs="Times New Roman" w:ascii="Carlito" w:hAnsi="Carlito"/>
          <w:color w:val="00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sz w:val="24"/>
          <w:szCs w:val="24"/>
        </w:rPr>
        <w:t>Aprovo:</w:t>
      </w:r>
    </w:p>
    <w:p>
      <w:pPr>
        <w:pStyle w:val="Normal"/>
        <w:spacing w:lineRule="atLeast" w:line="283"/>
        <w:jc w:val="center"/>
        <w:rPr>
          <w:rFonts w:ascii="Carlito" w:hAnsi="Carlito"/>
          <w:color w:val="000000"/>
          <w:sz w:val="24"/>
          <w:szCs w:val="24"/>
        </w:rPr>
      </w:pPr>
      <w:r>
        <w:rPr>
          <w:rFonts w:eastAsia="Times New Roman" w:cs="Arial" w:ascii="Carlito" w:hAnsi="Carlito"/>
          <w:b/>
          <w:bCs/>
          <w:iCs/>
          <w:color w:val="000000"/>
          <w:sz w:val="24"/>
          <w:szCs w:val="24"/>
        </w:rPr>
        <w:t>SAULO</w:t>
      </w:r>
      <w:r>
        <w:rPr>
          <w:rFonts w:eastAsia="Times New Roman" w:cs="Arial" w:ascii="Carlito" w:hAnsi="Carlito"/>
          <w:b w:val="false"/>
          <w:bCs w:val="false"/>
          <w:iCs/>
          <w:color w:val="000000"/>
          <w:sz w:val="24"/>
          <w:szCs w:val="24"/>
        </w:rPr>
        <w:t xml:space="preserve"> XAVIER DE PINA FILHO</w:t>
      </w:r>
    </w:p>
    <w:p>
      <w:pPr>
        <w:pStyle w:val="Normal"/>
        <w:spacing w:lineRule="atLeast" w:line="283" w:before="0" w:after="0"/>
        <w:jc w:val="center"/>
        <w:rPr>
          <w:rFonts w:ascii="Carlito" w:hAnsi="Carlito"/>
          <w:b w:val="false"/>
          <w:b w:val="false"/>
          <w:bCs w:val="false"/>
          <w:sz w:val="24"/>
          <w:szCs w:val="24"/>
        </w:rPr>
      </w:pPr>
      <w:r>
        <w:rPr>
          <w:rFonts w:ascii="Carlito" w:hAnsi="Carlito"/>
          <w:b w:val="false"/>
          <w:bCs w:val="false"/>
          <w:sz w:val="24"/>
          <w:szCs w:val="24"/>
        </w:rPr>
        <w:t>CF (FN)</w:t>
      </w:r>
    </w:p>
    <w:p>
      <w:pPr>
        <w:pStyle w:val="Normal"/>
        <w:spacing w:lineRule="atLeast" w:line="283"/>
        <w:jc w:val="center"/>
        <w:rPr>
          <w:rFonts w:ascii="Carlito" w:hAnsi="Carlito" w:eastAsia="Times New Roman" w:cs="Arial"/>
          <w:b w:val="false"/>
          <w:b w:val="false"/>
          <w:bCs w:val="false"/>
          <w:i w:val="false"/>
          <w:i w:val="false"/>
          <w:iCs/>
          <w:color w:val="000000"/>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Ordenador de Despesas Substituto</w:t>
      </w:r>
    </w:p>
    <w:p>
      <w:pPr>
        <w:pStyle w:val="Normal"/>
        <w:rPr/>
      </w:pPr>
      <w:r>
        <w:rPr/>
      </w:r>
    </w:p>
    <w:sectPr>
      <w:footerReference w:type="default" r:id="rId2"/>
      <w:type w:val="nextPage"/>
      <w:pgSz w:w="11906" w:h="16838"/>
      <w:pgMar w:left="1127" w:right="1134" w:gutter="0" w:header="0" w:top="1418" w:footer="709" w:bottom="1418"/>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Carlito">
    <w:altName w:val="Calibri"/>
    <w:charset w:val="01"/>
    <w:family w:val="roman"/>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rFonts w:ascii="Carlito" w:hAnsi="Carlito"/>
        <w:color w:val="00000A"/>
      </w:rPr>
    </w:lvl>
    <w:lvl w:ilvl="1">
      <w:start w:val="1"/>
      <w:numFmt w:val="decimal"/>
      <w:lvlText w:val="%1.%2."/>
      <w:lvlJc w:val="left"/>
      <w:pPr>
        <w:tabs>
          <w:tab w:val="num" w:pos="0"/>
        </w:tabs>
        <w:ind w:left="716" w:hanging="432"/>
      </w:pPr>
      <w:rPr>
        <w:dstrike w:val="false"/>
        <w:strike w:val="false"/>
        <w:sz w:val="24"/>
        <w:i w:val="false"/>
        <w:b/>
        <w:bCs/>
        <w:rFonts w:ascii="Carlito" w:hAnsi="Carlito"/>
        <w:color w:val="00000A"/>
      </w:rPr>
    </w:lvl>
    <w:lvl w:ilvl="2">
      <w:start w:val="1"/>
      <w:numFmt w:val="decimal"/>
      <w:lvlText w:val="%1.%2.%3."/>
      <w:lvlJc w:val="left"/>
      <w:pPr>
        <w:tabs>
          <w:tab w:val="num" w:pos="0"/>
        </w:tabs>
        <w:ind w:left="930" w:hanging="504"/>
      </w:pPr>
      <w:rPr>
        <w:sz w:val="24"/>
        <w:i w:val="false"/>
        <w:b/>
        <w:rFonts w:ascii="Carlito" w:hAnsi="Carlito"/>
        <w:color w:val="00000A"/>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36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tru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clear" w:pos="367"/>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fals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lear" w:pos="367"/>
        <w:tab w:val="center" w:pos="4819" w:leader="none"/>
        <w:tab w:val="right" w:pos="9638" w:leader="none"/>
      </w:tabs>
    </w:pPr>
    <w:rPr/>
  </w:style>
  <w:style w:type="paragraph" w:styleId="Cabealho">
    <w:name w:val="Header"/>
    <w:basedOn w:val="Normal"/>
    <w:link w:val="CabealhoChar"/>
    <w:unhideWhenUsed/>
    <w:rsid w:val="00a3644b"/>
    <w:pPr>
      <w:tabs>
        <w:tab w:val="clear" w:pos="367"/>
        <w:tab w:val="center" w:pos="4252" w:leader="none"/>
        <w:tab w:val="right" w:pos="8504" w:leader="none"/>
      </w:tabs>
    </w:pPr>
    <w:rPr/>
  </w:style>
  <w:style w:type="paragraph" w:styleId="Rodap">
    <w:name w:val="Footer"/>
    <w:basedOn w:val="Normal"/>
    <w:link w:val="RodapChar"/>
    <w:uiPriority w:val="99"/>
    <w:unhideWhenUsed/>
    <w:rsid w:val="00a3644b"/>
    <w:pPr>
      <w:tabs>
        <w:tab w:val="clear" w:pos="367"/>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clear" w:pos="367"/>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clear" w:pos="367"/>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tru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clear" w:pos="367"/>
        <w:tab w:val="left" w:pos="360" w:leader="none"/>
      </w:tabs>
      <w:ind w:left="644" w:hanging="432"/>
    </w:pPr>
    <w:rPr>
      <w:rFonts w:cs="Arial"/>
      <w:b/>
    </w:rPr>
  </w:style>
  <w:style w:type="paragraph" w:styleId="Nivel3" w:customStyle="1">
    <w:name w:val="Nivel 3"/>
    <w:basedOn w:val="Nivel2"/>
    <w:qFormat/>
    <w:rsid w:val="00210b85"/>
    <w:pPr>
      <w:tabs>
        <w:tab w:val="clear" w:pos="367"/>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1239</TotalTime>
  <Application>LibreOffice/7.3.7.2$Linux_X86_64 LibreOffice_project/30$Build-2</Application>
  <AppVersion>15.0000</AppVersion>
  <Pages>7</Pages>
  <Words>1648</Words>
  <Characters>9223</Characters>
  <CharactersWithSpaces>10809</CharactersWithSpaces>
  <Paragraphs>108</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2023-06-29T13:29:02Z</cp:lastPrinted>
  <dcterms:modified xsi:type="dcterms:W3CDTF">2023-07-10T15:04:03Z</dcterms:modified>
  <cp:revision>193</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